
<file path=[Content_Types].xml><?xml version="1.0" encoding="utf-8"?>
<Types xmlns="http://schemas.openxmlformats.org/package/2006/content-types">
  <Default Extension="jpg" ContentType="image/jpeg"/>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charts/chart6.xml" ContentType="application/vnd.openxmlformats-officedocument.drawingml.chart+xml"/>
  <Override PartName="/word/charts/style6.xml" ContentType="application/vnd.ms-office.chartstyle+xml"/>
  <Override PartName="/word/charts/colors6.xml" ContentType="application/vnd.ms-office.chartcolorstyle+xml"/>
  <Override PartName="/word/charts/chart7.xml" ContentType="application/vnd.openxmlformats-officedocument.drawingml.chart+xml"/>
  <Override PartName="/word/charts/style7.xml" ContentType="application/vnd.ms-office.chartstyle+xml"/>
  <Override PartName="/word/charts/colors7.xml" ContentType="application/vnd.ms-office.chartcolorstyle+xml"/>
  <Override PartName="/word/charts/chart8.xml" ContentType="application/vnd.openxmlformats-officedocument.drawingml.chart+xml"/>
  <Override PartName="/word/charts/style8.xml" ContentType="application/vnd.ms-office.chartstyle+xml"/>
  <Override PartName="/word/charts/colors8.xml" ContentType="application/vnd.ms-office.chartcolorstyle+xml"/>
  <Override PartName="/word/charts/chart9.xml" ContentType="application/vnd.openxmlformats-officedocument.drawingml.chart+xml"/>
  <Override PartName="/word/charts/style9.xml" ContentType="application/vnd.ms-office.chartstyle+xml"/>
  <Override PartName="/word/charts/colors9.xml" ContentType="application/vnd.ms-office.chartcolorstyle+xml"/>
  <Override PartName="/word/charts/chart10.xml" ContentType="application/vnd.openxmlformats-officedocument.drawingml.chart+xml"/>
  <Override PartName="/word/charts/style10.xml" ContentType="application/vnd.ms-office.chartstyle+xml"/>
  <Override PartName="/word/charts/colors10.xml" ContentType="application/vnd.ms-office.chartcolorstyle+xml"/>
  <Override PartName="/word/charts/chart11.xml" ContentType="application/vnd.openxmlformats-officedocument.drawingml.chart+xml"/>
  <Override PartName="/word/charts/style11.xml" ContentType="application/vnd.ms-office.chartstyle+xml"/>
  <Override PartName="/word/charts/colors11.xml" ContentType="application/vnd.ms-office.chartcolorstyle+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F3671EA" w14:textId="77777777" w:rsidR="009F58A5" w:rsidRPr="00E619C8" w:rsidRDefault="009F58A5">
      <w:pPr>
        <w:spacing w:after="120"/>
        <w:rPr>
          <w:rFonts w:ascii="Arial" w:eastAsia="Arial" w:hAnsi="Arial" w:cs="Arial"/>
        </w:rPr>
      </w:pPr>
    </w:p>
    <w:p w14:paraId="1F4FD163" w14:textId="063A3DA9" w:rsidR="002033A5" w:rsidRPr="00E619C8" w:rsidRDefault="000120A0">
      <w:pPr>
        <w:spacing w:after="120"/>
        <w:rPr>
          <w:rFonts w:ascii="Arial" w:eastAsia="Arial" w:hAnsi="Arial" w:cs="Arial"/>
        </w:rPr>
      </w:pPr>
      <w:r w:rsidRPr="00E619C8">
        <w:rPr>
          <w:noProof/>
        </w:rPr>
        <w:drawing>
          <wp:anchor distT="0" distB="0" distL="114300" distR="114300" simplePos="0" relativeHeight="251658241" behindDoc="0" locked="0" layoutInCell="1" hidden="0" allowOverlap="1" wp14:anchorId="39CB18BA" wp14:editId="3F6A855B">
            <wp:simplePos x="0" y="0"/>
            <wp:positionH relativeFrom="column">
              <wp:posOffset>1630680</wp:posOffset>
            </wp:positionH>
            <wp:positionV relativeFrom="paragraph">
              <wp:posOffset>77470</wp:posOffset>
            </wp:positionV>
            <wp:extent cx="2590800" cy="1645920"/>
            <wp:effectExtent l="0" t="0" r="0" b="5080"/>
            <wp:wrapSquare wrapText="bothSides" distT="0" distB="0" distL="114300" distR="114300"/>
            <wp:docPr id="1857035778" name="image46.png"/>
            <wp:cNvGraphicFramePr/>
            <a:graphic xmlns:a="http://schemas.openxmlformats.org/drawingml/2006/main">
              <a:graphicData uri="http://schemas.openxmlformats.org/drawingml/2006/picture">
                <pic:pic xmlns:pic="http://schemas.openxmlformats.org/drawingml/2006/picture">
                  <pic:nvPicPr>
                    <pic:cNvPr id="0" name="image46.png"/>
                    <pic:cNvPicPr preferRelativeResize="0"/>
                  </pic:nvPicPr>
                  <pic:blipFill>
                    <a:blip r:embed="rId12"/>
                    <a:srcRect l="18337" t="23890" r="19755" b="28740"/>
                    <a:stretch>
                      <a:fillRect/>
                    </a:stretch>
                  </pic:blipFill>
                  <pic:spPr>
                    <a:xfrm>
                      <a:off x="0" y="0"/>
                      <a:ext cx="2590800" cy="1645920"/>
                    </a:xfrm>
                    <a:prstGeom prst="rect">
                      <a:avLst/>
                    </a:prstGeom>
                    <a:ln/>
                  </pic:spPr>
                </pic:pic>
              </a:graphicData>
            </a:graphic>
            <wp14:sizeRelH relativeFrom="margin">
              <wp14:pctWidth>0</wp14:pctWidth>
            </wp14:sizeRelH>
            <wp14:sizeRelV relativeFrom="margin">
              <wp14:pctHeight>0</wp14:pctHeight>
            </wp14:sizeRelV>
          </wp:anchor>
        </w:drawing>
      </w:r>
      <w:r w:rsidRPr="00E619C8">
        <w:rPr>
          <w:noProof/>
        </w:rPr>
        <w:drawing>
          <wp:anchor distT="0" distB="0" distL="114300" distR="114300" simplePos="0" relativeHeight="251658246" behindDoc="0" locked="0" layoutInCell="1" hidden="0" allowOverlap="1" wp14:anchorId="1F81303E" wp14:editId="06EE81F0">
            <wp:simplePos x="0" y="0"/>
            <wp:positionH relativeFrom="column">
              <wp:posOffset>4187825</wp:posOffset>
            </wp:positionH>
            <wp:positionV relativeFrom="paragraph">
              <wp:posOffset>6348730</wp:posOffset>
            </wp:positionV>
            <wp:extent cx="2452370" cy="1538605"/>
            <wp:effectExtent l="0" t="0" r="0" b="0"/>
            <wp:wrapSquare wrapText="bothSides" distT="0" distB="0" distL="114300" distR="114300"/>
            <wp:docPr id="1857035773" name="image39.jpg" descr="https://upload.wikimedia.org/wikipedia/commons/f/f5/Chiang_Rai,_Northern_Thailand,_construction_project.jpg"/>
            <wp:cNvGraphicFramePr/>
            <a:graphic xmlns:a="http://schemas.openxmlformats.org/drawingml/2006/main">
              <a:graphicData uri="http://schemas.openxmlformats.org/drawingml/2006/picture">
                <pic:pic xmlns:pic="http://schemas.openxmlformats.org/drawingml/2006/picture">
                  <pic:nvPicPr>
                    <pic:cNvPr id="0" name="image39.jpg" descr="https://upload.wikimedia.org/wikipedia/commons/f/f5/Chiang_Rai,_Northern_Thailand,_construction_project.jpg"/>
                    <pic:cNvPicPr preferRelativeResize="0"/>
                  </pic:nvPicPr>
                  <pic:blipFill>
                    <a:blip r:embed="rId13"/>
                    <a:srcRect t="18567"/>
                    <a:stretch>
                      <a:fillRect/>
                    </a:stretch>
                  </pic:blipFill>
                  <pic:spPr>
                    <a:xfrm>
                      <a:off x="0" y="0"/>
                      <a:ext cx="2452370" cy="1538605"/>
                    </a:xfrm>
                    <a:prstGeom prst="rect">
                      <a:avLst/>
                    </a:prstGeom>
                    <a:ln/>
                  </pic:spPr>
                </pic:pic>
              </a:graphicData>
            </a:graphic>
          </wp:anchor>
        </w:drawing>
      </w:r>
      <w:r w:rsidRPr="00E619C8">
        <w:rPr>
          <w:noProof/>
        </w:rPr>
        <w:drawing>
          <wp:anchor distT="0" distB="0" distL="114300" distR="114300" simplePos="0" relativeHeight="251658245" behindDoc="0" locked="0" layoutInCell="1" hidden="0" allowOverlap="1" wp14:anchorId="15F8FB41" wp14:editId="5E30886C">
            <wp:simplePos x="0" y="0"/>
            <wp:positionH relativeFrom="column">
              <wp:posOffset>1602740</wp:posOffset>
            </wp:positionH>
            <wp:positionV relativeFrom="paragraph">
              <wp:posOffset>6346825</wp:posOffset>
            </wp:positionV>
            <wp:extent cx="2621280" cy="1540510"/>
            <wp:effectExtent l="0" t="0" r="0" b="0"/>
            <wp:wrapSquare wrapText="bothSides" distT="0" distB="0" distL="114300" distR="114300"/>
            <wp:docPr id="1857035760" name="image22.jpg" descr="http://www.public-domain-image.com/free-images/people/children-kids/these-children-at-a-school-in-turkestan-city-are-participating-in-a-national-reading-day-725x544.jpg"/>
            <wp:cNvGraphicFramePr/>
            <a:graphic xmlns:a="http://schemas.openxmlformats.org/drawingml/2006/main">
              <a:graphicData uri="http://schemas.openxmlformats.org/drawingml/2006/picture">
                <pic:pic xmlns:pic="http://schemas.openxmlformats.org/drawingml/2006/picture">
                  <pic:nvPicPr>
                    <pic:cNvPr id="0" name="image22.jpg" descr="http://www.public-domain-image.com/free-images/people/children-kids/these-children-at-a-school-in-turkestan-city-are-participating-in-a-national-reading-day-725x544.jpg"/>
                    <pic:cNvPicPr preferRelativeResize="0"/>
                  </pic:nvPicPr>
                  <pic:blipFill>
                    <a:blip r:embed="rId14"/>
                    <a:srcRect t="19468" b="2600"/>
                    <a:stretch>
                      <a:fillRect/>
                    </a:stretch>
                  </pic:blipFill>
                  <pic:spPr>
                    <a:xfrm>
                      <a:off x="0" y="0"/>
                      <a:ext cx="2621280" cy="1540510"/>
                    </a:xfrm>
                    <a:prstGeom prst="rect">
                      <a:avLst/>
                    </a:prstGeom>
                    <a:ln/>
                  </pic:spPr>
                </pic:pic>
              </a:graphicData>
            </a:graphic>
          </wp:anchor>
        </w:drawing>
      </w:r>
      <w:r w:rsidRPr="00E619C8">
        <w:rPr>
          <w:noProof/>
        </w:rPr>
        <w:drawing>
          <wp:anchor distT="0" distB="0" distL="114300" distR="114300" simplePos="0" relativeHeight="251658244" behindDoc="0" locked="0" layoutInCell="1" hidden="0" allowOverlap="1" wp14:anchorId="147EDDA1" wp14:editId="13F2596A">
            <wp:simplePos x="0" y="0"/>
            <wp:positionH relativeFrom="column">
              <wp:posOffset>-904875</wp:posOffset>
            </wp:positionH>
            <wp:positionV relativeFrom="paragraph">
              <wp:posOffset>6346825</wp:posOffset>
            </wp:positionV>
            <wp:extent cx="2518410" cy="1540510"/>
            <wp:effectExtent l="0" t="0" r="0" b="0"/>
            <wp:wrapSquare wrapText="bothSides" distT="0" distB="0" distL="114300" distR="114300"/>
            <wp:docPr id="1857035748" name="image23.jpg" descr="https://pixabay.com/static/uploads/photo/2014/01/30/13/25/lunar-new-year-254895_640.jpg"/>
            <wp:cNvGraphicFramePr/>
            <a:graphic xmlns:a="http://schemas.openxmlformats.org/drawingml/2006/main">
              <a:graphicData uri="http://schemas.openxmlformats.org/drawingml/2006/picture">
                <pic:pic xmlns:pic="http://schemas.openxmlformats.org/drawingml/2006/picture">
                  <pic:nvPicPr>
                    <pic:cNvPr id="0" name="image23.jpg" descr="https://pixabay.com/static/uploads/photo/2014/01/30/13/25/lunar-new-year-254895_640.jpg"/>
                    <pic:cNvPicPr preferRelativeResize="0"/>
                  </pic:nvPicPr>
                  <pic:blipFill>
                    <a:blip r:embed="rId15"/>
                    <a:srcRect t="5431" b="6507"/>
                    <a:stretch>
                      <a:fillRect/>
                    </a:stretch>
                  </pic:blipFill>
                  <pic:spPr>
                    <a:xfrm>
                      <a:off x="0" y="0"/>
                      <a:ext cx="2518410" cy="1540510"/>
                    </a:xfrm>
                    <a:prstGeom prst="rect">
                      <a:avLst/>
                    </a:prstGeom>
                    <a:ln/>
                  </pic:spPr>
                </pic:pic>
              </a:graphicData>
            </a:graphic>
          </wp:anchor>
        </w:drawing>
      </w:r>
      <w:r w:rsidRPr="00E619C8">
        <w:rPr>
          <w:noProof/>
        </w:rPr>
        <mc:AlternateContent>
          <mc:Choice Requires="wps">
            <w:drawing>
              <wp:anchor distT="0" distB="0" distL="0" distR="0" simplePos="0" relativeHeight="251658249" behindDoc="0" locked="0" layoutInCell="1" hidden="0" allowOverlap="1" wp14:anchorId="08346673" wp14:editId="5260B89F">
                <wp:simplePos x="0" y="0"/>
                <wp:positionH relativeFrom="column">
                  <wp:posOffset>-914400</wp:posOffset>
                </wp:positionH>
                <wp:positionV relativeFrom="paragraph">
                  <wp:posOffset>1626870</wp:posOffset>
                </wp:positionV>
                <wp:extent cx="7557770" cy="4768850"/>
                <wp:effectExtent l="0" t="0" r="0" b="6350"/>
                <wp:wrapTopAndBottom distT="0" distB="0"/>
                <wp:docPr id="1857035730" name="Rectángulo 1857035730"/>
                <wp:cNvGraphicFramePr/>
                <a:graphic xmlns:a="http://schemas.openxmlformats.org/drawingml/2006/main">
                  <a:graphicData uri="http://schemas.microsoft.com/office/word/2010/wordprocessingShape">
                    <wps:wsp>
                      <wps:cNvSpPr/>
                      <wps:spPr>
                        <a:xfrm>
                          <a:off x="0" y="0"/>
                          <a:ext cx="7557770" cy="4768850"/>
                        </a:xfrm>
                        <a:prstGeom prst="rect">
                          <a:avLst/>
                        </a:prstGeom>
                        <a:solidFill>
                          <a:srgbClr val="CC2028"/>
                        </a:solidFill>
                        <a:ln>
                          <a:noFill/>
                        </a:ln>
                      </wps:spPr>
                      <wps:txbx>
                        <w:txbxContent>
                          <w:p w14:paraId="111862B8" w14:textId="77777777" w:rsidR="002033A5" w:rsidRPr="00E619C8" w:rsidRDefault="00E113EC" w:rsidP="000120A0">
                            <w:pPr>
                              <w:ind w:left="720" w:firstLine="698"/>
                              <w:textDirection w:val="btLr"/>
                            </w:pPr>
                            <w:r w:rsidRPr="00E619C8">
                              <w:rPr>
                                <w:rFonts w:ascii="Arial" w:eastAsia="Arial" w:hAnsi="Arial" w:cs="Arial"/>
                                <w:b/>
                                <w:color w:val="FFFFFF"/>
                                <w:sz w:val="96"/>
                              </w:rPr>
                              <w:t>NTB – Indonesia</w:t>
                            </w:r>
                          </w:p>
                          <w:p w14:paraId="6F8FD873" w14:textId="77777777" w:rsidR="002033A5" w:rsidRPr="00E619C8" w:rsidRDefault="002033A5">
                            <w:pPr>
                              <w:ind w:left="720" w:firstLine="2880"/>
                              <w:textDirection w:val="btLr"/>
                            </w:pPr>
                          </w:p>
                          <w:p w14:paraId="7C6FA909" w14:textId="77777777" w:rsidR="002033A5" w:rsidRPr="00E619C8" w:rsidRDefault="00E113EC" w:rsidP="000120A0">
                            <w:pPr>
                              <w:ind w:left="720" w:firstLine="698"/>
                              <w:textDirection w:val="btLr"/>
                            </w:pPr>
                            <w:r w:rsidRPr="00E619C8">
                              <w:rPr>
                                <w:rFonts w:ascii="Arial" w:eastAsia="Arial" w:hAnsi="Arial" w:cs="Arial"/>
                                <w:b/>
                                <w:color w:val="FFFFFF"/>
                                <w:sz w:val="58"/>
                              </w:rPr>
                              <w:t>Infrastructure Transparency Index</w:t>
                            </w:r>
                          </w:p>
                          <w:p w14:paraId="62B4C8CF" w14:textId="77777777" w:rsidR="002033A5" w:rsidRPr="00E619C8" w:rsidRDefault="002033A5">
                            <w:pPr>
                              <w:ind w:left="720" w:firstLine="2160"/>
                              <w:textDirection w:val="btLr"/>
                            </w:pPr>
                          </w:p>
                          <w:p w14:paraId="4C88A7DB" w14:textId="77777777" w:rsidR="002033A5" w:rsidRPr="00E619C8" w:rsidRDefault="00E113EC" w:rsidP="000120A0">
                            <w:pPr>
                              <w:ind w:left="720" w:firstLine="698"/>
                              <w:textDirection w:val="btLr"/>
                            </w:pPr>
                            <w:r w:rsidRPr="00E619C8">
                              <w:rPr>
                                <w:rFonts w:ascii="Arial" w:eastAsia="Arial" w:hAnsi="Arial" w:cs="Arial"/>
                                <w:b/>
                                <w:color w:val="FFFFFF"/>
                                <w:sz w:val="58"/>
                              </w:rPr>
                              <w:t>2026 Report</w:t>
                            </w:r>
                          </w:p>
                        </w:txbxContent>
                      </wps:txbx>
                      <wps:bodyPr spcFirstLastPara="1" wrap="square" lIns="91425" tIns="91425" rIns="91425" bIns="91425" anchor="ctr" anchorCtr="0">
                        <a:noAutofit/>
                      </wps:bodyPr>
                    </wps:wsp>
                  </a:graphicData>
                </a:graphic>
                <wp14:sizeRelH relativeFrom="margin">
                  <wp14:pctWidth>0</wp14:pctWidth>
                </wp14:sizeRelH>
                <wp14:sizeRelV relativeFrom="margin">
                  <wp14:pctHeight>0</wp14:pctHeight>
                </wp14:sizeRelV>
              </wp:anchor>
            </w:drawing>
          </mc:Choice>
          <mc:Fallback>
            <w:pict>
              <v:rect w14:anchorId="08346673" id="Rectángulo 1857035730" o:spid="_x0000_s1026" style="position:absolute;margin-left:-1in;margin-top:128.1pt;width:595.1pt;height:375.5pt;z-index:251658249;visibility:visible;mso-wrap-style:square;mso-width-percent:0;mso-height-percent:0;mso-wrap-distance-left:0;mso-wrap-distance-top:0;mso-wrap-distance-right:0;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" fillcolor="#cc2028" stroked="f">
                <v:textbox inset="2.53958mm,2.53958mm,2.53958mm,2.53958mm">
                  <w:txbxContent>
                    <w:p w14:paraId="111862B8" w14:textId="77777777" w:rsidR="002033A5" w:rsidRPr="00E619C8" w:rsidRDefault="00E113EC" w:rsidP="000120A0">
                      <w:pPr>
                        <w:ind w:left="720" w:firstLine="698"/>
                        <w:textDirection w:val="btLr"/>
                      </w:pPr>
                      <w:r w:rsidRPr="00E619C8">
                        <w:rPr>
                          <w:rFonts w:ascii="Arial" w:eastAsia="Arial" w:hAnsi="Arial" w:cs="Arial"/>
                          <w:b/>
                          <w:color w:val="FFFFFF"/>
                          <w:sz w:val="96"/>
                        </w:rPr>
                        <w:t>NTB – Indonesia</w:t>
                      </w:r>
                    </w:p>
                    <w:p w14:paraId="6F8FD873" w14:textId="77777777" w:rsidR="002033A5" w:rsidRPr="00E619C8" w:rsidRDefault="002033A5">
                      <w:pPr>
                        <w:ind w:left="720" w:firstLine="2880"/>
                        <w:textDirection w:val="btLr"/>
                      </w:pPr>
                    </w:p>
                    <w:p w14:paraId="7C6FA909" w14:textId="77777777" w:rsidR="002033A5" w:rsidRPr="00E619C8" w:rsidRDefault="00E113EC" w:rsidP="000120A0">
                      <w:pPr>
                        <w:ind w:left="720" w:firstLine="698"/>
                        <w:textDirection w:val="btLr"/>
                      </w:pPr>
                      <w:r w:rsidRPr="00E619C8">
                        <w:rPr>
                          <w:rFonts w:ascii="Arial" w:eastAsia="Arial" w:hAnsi="Arial" w:cs="Arial"/>
                          <w:b/>
                          <w:color w:val="FFFFFF"/>
                          <w:sz w:val="58"/>
                        </w:rPr>
                        <w:t>Infrastructure Transparency Index</w:t>
                      </w:r>
                    </w:p>
                    <w:p w14:paraId="62B4C8CF" w14:textId="77777777" w:rsidR="002033A5" w:rsidRPr="00E619C8" w:rsidRDefault="002033A5">
                      <w:pPr>
                        <w:ind w:left="720" w:firstLine="2160"/>
                        <w:textDirection w:val="btLr"/>
                      </w:pPr>
                    </w:p>
                    <w:p w14:paraId="4C88A7DB" w14:textId="77777777" w:rsidR="002033A5" w:rsidRPr="00E619C8" w:rsidRDefault="00E113EC" w:rsidP="000120A0">
                      <w:pPr>
                        <w:ind w:left="720" w:firstLine="698"/>
                        <w:textDirection w:val="btLr"/>
                      </w:pPr>
                      <w:r w:rsidRPr="00E619C8">
                        <w:rPr>
                          <w:rFonts w:ascii="Arial" w:eastAsia="Arial" w:hAnsi="Arial" w:cs="Arial"/>
                          <w:b/>
                          <w:color w:val="FFFFFF"/>
                          <w:sz w:val="58"/>
                        </w:rPr>
                        <w:t>2026 Report</w:t>
                      </w:r>
                    </w:p>
                  </w:txbxContent>
                </v:textbox>
                <w10:wrap type="topAndBottom"/>
              </v:rect>
            </w:pict>
          </mc:Fallback>
        </mc:AlternateContent>
      </w:r>
      <w:r w:rsidRPr="00E619C8">
        <w:rPr>
          <w:noProof/>
        </w:rPr>
        <w:drawing>
          <wp:anchor distT="0" distB="0" distL="114300" distR="114300" simplePos="0" relativeHeight="251658240" behindDoc="0" locked="0" layoutInCell="1" hidden="0" allowOverlap="1" wp14:anchorId="21EDCC43" wp14:editId="2082044C">
            <wp:simplePos x="0" y="0"/>
            <wp:positionH relativeFrom="column">
              <wp:posOffset>-923920</wp:posOffset>
            </wp:positionH>
            <wp:positionV relativeFrom="paragraph">
              <wp:posOffset>85725</wp:posOffset>
            </wp:positionV>
            <wp:extent cx="2552700" cy="1543050"/>
            <wp:effectExtent l="0" t="0" r="0" b="0"/>
            <wp:wrapSquare wrapText="bothSides" distT="0" distB="0" distL="114300" distR="114300"/>
            <wp:docPr id="1857035757" name="image16.jpg"/>
            <wp:cNvGraphicFramePr/>
            <a:graphic xmlns:a="http://schemas.openxmlformats.org/drawingml/2006/main">
              <a:graphicData uri="http://schemas.openxmlformats.org/drawingml/2006/picture">
                <pic:pic xmlns:pic="http://schemas.openxmlformats.org/drawingml/2006/picture">
                  <pic:nvPicPr>
                    <pic:cNvPr id="0" name="image16.jpg"/>
                    <pic:cNvPicPr preferRelativeResize="0"/>
                  </pic:nvPicPr>
                  <pic:blipFill>
                    <a:blip r:embed="rId16"/>
                    <a:srcRect t="5100" b="3476"/>
                    <a:stretch>
                      <a:fillRect/>
                    </a:stretch>
                  </pic:blipFill>
                  <pic:spPr>
                    <a:xfrm>
                      <a:off x="0" y="0"/>
                      <a:ext cx="2552700" cy="1543050"/>
                    </a:xfrm>
                    <a:prstGeom prst="rect">
                      <a:avLst/>
                    </a:prstGeom>
                    <a:ln/>
                  </pic:spPr>
                </pic:pic>
              </a:graphicData>
            </a:graphic>
          </wp:anchor>
        </w:drawing>
      </w:r>
      <w:bookmarkStart w:id="0" w:name="_heading=h.gjdgxs" w:colFirst="0" w:colLast="0"/>
      <w:bookmarkEnd w:id="0"/>
      <w:r w:rsidRPr="00E619C8">
        <w:rPr>
          <w:noProof/>
        </w:rPr>
        <w:drawing>
          <wp:anchor distT="0" distB="0" distL="114300" distR="114300" simplePos="0" relativeHeight="251658242" behindDoc="0" locked="0" layoutInCell="1" hidden="0" allowOverlap="1" wp14:anchorId="3E18747B" wp14:editId="1B629E72">
            <wp:simplePos x="0" y="0"/>
            <wp:positionH relativeFrom="column">
              <wp:posOffset>4093209</wp:posOffset>
            </wp:positionH>
            <wp:positionV relativeFrom="paragraph">
              <wp:posOffset>85725</wp:posOffset>
            </wp:positionV>
            <wp:extent cx="2552700" cy="1544955"/>
            <wp:effectExtent l="0" t="0" r="0" b="0"/>
            <wp:wrapSquare wrapText="bothSides" distT="0" distB="0" distL="114300" distR="114300"/>
            <wp:docPr id="1857035753" name="image36.jpg" descr="https://upload.wikimedia.org/wikipedia/commons/1/15/King's_Cross_Western_Concourse.jpg"/>
            <wp:cNvGraphicFramePr/>
            <a:graphic xmlns:a="http://schemas.openxmlformats.org/drawingml/2006/main">
              <a:graphicData uri="http://schemas.openxmlformats.org/drawingml/2006/picture">
                <pic:pic xmlns:pic="http://schemas.openxmlformats.org/drawingml/2006/picture">
                  <pic:nvPicPr>
                    <pic:cNvPr id="0" name="image36.jpg" descr="https://upload.wikimedia.org/wikipedia/commons/1/15/King's_Cross_Western_Concourse.jpg"/>
                    <pic:cNvPicPr preferRelativeResize="0"/>
                  </pic:nvPicPr>
                  <pic:blipFill>
                    <a:blip r:embed="rId17"/>
                    <a:srcRect t="9460" b="4650"/>
                    <a:stretch>
                      <a:fillRect/>
                    </a:stretch>
                  </pic:blipFill>
                  <pic:spPr>
                    <a:xfrm>
                      <a:off x="0" y="0"/>
                      <a:ext cx="2552700" cy="1544955"/>
                    </a:xfrm>
                    <a:prstGeom prst="rect">
                      <a:avLst/>
                    </a:prstGeom>
                    <a:ln/>
                  </pic:spPr>
                </pic:pic>
              </a:graphicData>
            </a:graphic>
          </wp:anchor>
        </w:drawing>
      </w:r>
    </w:p>
    <w:p w14:paraId="542077A3" w14:textId="35504B0E" w:rsidR="002033A5" w:rsidRPr="00E619C8" w:rsidRDefault="00E113EC">
      <w:pPr>
        <w:spacing w:after="120"/>
        <w:rPr>
          <w:rFonts w:ascii="Arial" w:eastAsia="Arial" w:hAnsi="Arial" w:cs="Arial"/>
        </w:rPr>
      </w:pPr>
      <w:r w:rsidRPr="00E619C8">
        <w:rPr>
          <w:noProof/>
        </w:rPr>
        <w:lastRenderedPageBreak/>
        <mc:AlternateContent>
          <mc:Choice Requires="wps">
            <w:drawing>
              <wp:anchor distT="0" distB="0" distL="114300" distR="114300" simplePos="0" relativeHeight="251658243" behindDoc="0" locked="0" layoutInCell="1" hidden="0" allowOverlap="1" wp14:anchorId="736FD495" wp14:editId="050004E2">
                <wp:simplePos x="0" y="0"/>
                <wp:positionH relativeFrom="column">
                  <wp:posOffset>5289550</wp:posOffset>
                </wp:positionH>
                <wp:positionV relativeFrom="paragraph">
                  <wp:posOffset>6737350</wp:posOffset>
                </wp:positionV>
                <wp:extent cx="787779" cy="678597"/>
                <wp:effectExtent l="0" t="0" r="0" b="0"/>
                <wp:wrapNone/>
                <wp:docPr id="1857035733" name="Rectángulo 1857035733"/>
                <wp:cNvGraphicFramePr/>
                <a:graphic xmlns:a="http://schemas.openxmlformats.org/drawingml/2006/main">
                  <a:graphicData uri="http://schemas.microsoft.com/office/word/2010/wordprocessingShape">
                    <wps:wsp>
                      <wps:cNvSpPr/>
                      <wps:spPr>
                        <a:xfrm>
                          <a:off x="4977511" y="3466102"/>
                          <a:ext cx="736979" cy="627797"/>
                        </a:xfrm>
                        <a:prstGeom prst="rect">
                          <a:avLst/>
                        </a:prstGeom>
                        <a:solidFill>
                          <a:schemeClr val="lt1"/>
                        </a:solidFill>
                        <a:ln w="12700" cap="flat" cmpd="sng">
                          <a:solidFill>
                            <a:schemeClr val="lt1"/>
                          </a:solidFill>
                          <a:prstDash val="solid"/>
                          <a:miter lim="800000"/>
                          <a:headEnd type="none" w="sm" len="sm"/>
                          <a:tailEnd type="none" w="sm" len="sm"/>
                        </a:ln>
                      </wps:spPr>
                      <wps:txbx>
                        <w:txbxContent>
                          <w:p w14:paraId="57A821D6" w14:textId="77777777" w:rsidR="002033A5" w:rsidRPr="00E619C8" w:rsidRDefault="002033A5">
                            <w:pPr>
                              <w:textDirection w:val="btLr"/>
                            </w:pPr>
                          </w:p>
                        </w:txbxContent>
                      </wps:txbx>
                      <wps:bodyPr spcFirstLastPara="1" wrap="square" lIns="91425" tIns="91425" rIns="91425" bIns="91425" anchor="ctr" anchorCtr="0">
                        <a:noAutofit/>
                      </wps:bodyPr>
                    </wps:wsp>
                  </a:graphicData>
                </a:graphic>
              </wp:anchor>
            </w:drawing>
          </mc:Choice>
          <mc:Fallback>
            <w:pict>
              <v:rect w14:anchorId="736FD495" id="Rectángulo 1857035733" o:spid="_x0000_s1027" style="position:absolute;margin-left:416.5pt;margin-top:530.5pt;width:62.05pt;height:53.45pt;z-index:251658243;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" fillcolor="white [3201]" strokecolor="white [3201]" strokeweight="1pt">
                <v:stroke startarrowwidth="narrow" startarrowlength="short" endarrowwidth="narrow" endarrowlength="short"/>
                <v:textbox inset="2.53958mm,2.53958mm,2.53958mm,2.53958mm">
                  <w:txbxContent>
                    <w:p w14:paraId="57A821D6" w14:textId="77777777" w:rsidR="002033A5" w:rsidRPr="00E619C8" w:rsidRDefault="002033A5">
                      <w:pPr>
                        <w:textDirection w:val="btLr"/>
                      </w:pPr>
                    </w:p>
                  </w:txbxContent>
                </v:textbox>
              </v:rect>
            </w:pict>
          </mc:Fallback>
        </mc:AlternateContent>
      </w:r>
    </w:p>
    <w:p w14:paraId="7C9A9CA6" w14:textId="1DA2DD80" w:rsidR="002033A5" w:rsidRPr="00E619C8" w:rsidRDefault="00E113EC">
      <w:pPr>
        <w:pBdr>
          <w:top w:val="nil"/>
          <w:left w:val="nil"/>
          <w:bottom w:val="nil"/>
          <w:right w:val="nil"/>
          <w:between w:val="nil"/>
        </w:pBdr>
        <w:spacing w:line="276" w:lineRule="auto"/>
        <w:jc w:val="both"/>
        <w:rPr>
          <w:rFonts w:ascii="Arial" w:eastAsia="Arial" w:hAnsi="Arial" w:cs="Arial"/>
          <w:sz w:val="22"/>
          <w:szCs w:val="22"/>
        </w:rPr>
      </w:pPr>
      <w:bookmarkStart w:id="1" w:name="_heading=h.6jk5hu8jt6o9" w:colFirst="0" w:colLast="0"/>
      <w:bookmarkEnd w:id="1"/>
      <w:r w:rsidRPr="00E619C8">
        <w:rPr>
          <w:rFonts w:ascii="Arial" w:eastAsia="Arial" w:hAnsi="Arial" w:cs="Arial"/>
          <w:sz w:val="22"/>
          <w:szCs w:val="22"/>
        </w:rPr>
        <w:t xml:space="preserve">The Infrastructure Transparency Index (ITI) is an instrument developed by CoST – the Infrastructure Transparency Initiative. It provides metrics of the levels of transparency and the quality of processes related to public infrastructure at national or sub-national levels. Applied consistently, it can be used to rank performance and monitor changes over time.  Collaboratively designed and </w:t>
      </w:r>
      <w:r w:rsidR="00DF70A7">
        <w:rPr>
          <w:rFonts w:ascii="Arial" w:eastAsia="Arial" w:hAnsi="Arial" w:cs="Arial"/>
          <w:sz w:val="22"/>
          <w:szCs w:val="22"/>
        </w:rPr>
        <w:t>grounded in international good practice and lessons learned, its objective is to provide stakeholders with high-quality information that promotes transparency and drives</w:t>
      </w:r>
      <w:r w:rsidRPr="00E619C8">
        <w:rPr>
          <w:rFonts w:ascii="Arial" w:eastAsia="Arial" w:hAnsi="Arial" w:cs="Arial"/>
          <w:sz w:val="22"/>
          <w:szCs w:val="22"/>
        </w:rPr>
        <w:t xml:space="preserve"> improvements in the management of public infrastructure.</w:t>
      </w:r>
    </w:p>
    <w:p w14:paraId="527896D9" w14:textId="77777777" w:rsidR="002033A5" w:rsidRPr="00E619C8" w:rsidRDefault="002033A5">
      <w:pPr>
        <w:pBdr>
          <w:top w:val="nil"/>
          <w:left w:val="nil"/>
          <w:bottom w:val="nil"/>
          <w:right w:val="nil"/>
          <w:between w:val="nil"/>
        </w:pBdr>
        <w:spacing w:line="276" w:lineRule="auto"/>
        <w:jc w:val="both"/>
        <w:rPr>
          <w:rFonts w:ascii="Arial" w:eastAsia="Arial" w:hAnsi="Arial" w:cs="Arial"/>
          <w:sz w:val="22"/>
          <w:szCs w:val="22"/>
        </w:rPr>
      </w:pPr>
    </w:p>
    <w:p w14:paraId="773FD720" w14:textId="77777777" w:rsidR="002033A5" w:rsidRPr="00E619C8" w:rsidRDefault="002033A5">
      <w:pPr>
        <w:pBdr>
          <w:top w:val="nil"/>
          <w:left w:val="nil"/>
          <w:bottom w:val="nil"/>
          <w:right w:val="nil"/>
          <w:between w:val="nil"/>
        </w:pBdr>
        <w:spacing w:line="276" w:lineRule="auto"/>
        <w:jc w:val="both"/>
        <w:rPr>
          <w:rFonts w:ascii="Arial" w:eastAsia="Arial" w:hAnsi="Arial" w:cs="Arial"/>
          <w:sz w:val="22"/>
          <w:szCs w:val="22"/>
        </w:rPr>
      </w:pPr>
    </w:p>
    <w:p w14:paraId="672CCDB9" w14:textId="77777777" w:rsidR="002033A5" w:rsidRPr="00E619C8" w:rsidRDefault="00E113EC">
      <w:pPr>
        <w:pBdr>
          <w:top w:val="nil"/>
          <w:left w:val="nil"/>
          <w:bottom w:val="nil"/>
          <w:right w:val="nil"/>
          <w:between w:val="nil"/>
        </w:pBdr>
        <w:spacing w:line="276" w:lineRule="auto"/>
        <w:jc w:val="both"/>
        <w:rPr>
          <w:rFonts w:ascii="Arial" w:eastAsia="Arial" w:hAnsi="Arial" w:cs="Arial"/>
          <w:color w:val="000000"/>
          <w:sz w:val="22"/>
          <w:szCs w:val="22"/>
        </w:rPr>
      </w:pPr>
      <w:r w:rsidRPr="00E619C8">
        <w:rPr>
          <w:rFonts w:ascii="Arial" w:eastAsia="Arial" w:hAnsi="Arial" w:cs="Arial"/>
          <w:sz w:val="22"/>
          <w:szCs w:val="22"/>
        </w:rPr>
        <w:t>Research team</w:t>
      </w:r>
      <w:r w:rsidRPr="00E619C8">
        <w:rPr>
          <w:rFonts w:ascii="Arial" w:eastAsia="Arial" w:hAnsi="Arial" w:cs="Arial"/>
          <w:color w:val="000000"/>
          <w:sz w:val="22"/>
          <w:szCs w:val="22"/>
        </w:rPr>
        <w:t>:</w:t>
      </w:r>
    </w:p>
    <w:p w14:paraId="3CDD3003" w14:textId="77777777" w:rsidR="002033A5" w:rsidRPr="00E619C8" w:rsidRDefault="00E113EC">
      <w:pPr>
        <w:pBdr>
          <w:top w:val="nil"/>
          <w:left w:val="nil"/>
          <w:bottom w:val="nil"/>
          <w:right w:val="nil"/>
          <w:between w:val="nil"/>
        </w:pBdr>
        <w:spacing w:line="276" w:lineRule="auto"/>
        <w:jc w:val="both"/>
        <w:rPr>
          <w:rFonts w:ascii="Arial" w:eastAsia="Arial" w:hAnsi="Arial" w:cs="Arial"/>
          <w:color w:val="7F7F7F"/>
          <w:sz w:val="22"/>
          <w:szCs w:val="22"/>
        </w:rPr>
      </w:pPr>
      <w:r w:rsidRPr="00E619C8">
        <w:rPr>
          <w:rFonts w:ascii="Arial" w:eastAsia="Arial" w:hAnsi="Arial" w:cs="Arial"/>
          <w:color w:val="7F7F7F"/>
          <w:sz w:val="22"/>
          <w:szCs w:val="22"/>
        </w:rPr>
        <w:t>Ahmad Muharror. Evaluation Coordinator. CoST</w:t>
      </w:r>
    </w:p>
    <w:p w14:paraId="0C87BBF5" w14:textId="77777777" w:rsidR="002033A5" w:rsidRPr="00E619C8" w:rsidRDefault="00E113EC">
      <w:pPr>
        <w:spacing w:line="276" w:lineRule="auto"/>
        <w:jc w:val="both"/>
        <w:rPr>
          <w:rFonts w:ascii="Arial" w:eastAsia="Arial" w:hAnsi="Arial" w:cs="Arial"/>
          <w:color w:val="7F7F7F"/>
          <w:sz w:val="22"/>
          <w:szCs w:val="22"/>
        </w:rPr>
      </w:pPr>
      <w:r w:rsidRPr="00E619C8">
        <w:rPr>
          <w:rFonts w:ascii="Arial" w:eastAsia="Arial" w:hAnsi="Arial" w:cs="Arial"/>
          <w:color w:val="7F7F7F"/>
          <w:sz w:val="22"/>
          <w:szCs w:val="22"/>
        </w:rPr>
        <w:t>Moh. Aminullah. Evaluator. CoST</w:t>
      </w:r>
    </w:p>
    <w:p w14:paraId="4E4269D0" w14:textId="77777777" w:rsidR="002033A5" w:rsidRPr="00E619C8" w:rsidRDefault="00E113EC">
      <w:pPr>
        <w:spacing w:line="276" w:lineRule="auto"/>
        <w:jc w:val="both"/>
        <w:rPr>
          <w:rFonts w:ascii="Arial" w:eastAsia="Arial" w:hAnsi="Arial" w:cs="Arial"/>
          <w:color w:val="7F7F7F"/>
          <w:sz w:val="22"/>
          <w:szCs w:val="22"/>
        </w:rPr>
      </w:pPr>
      <w:r w:rsidRPr="00E619C8">
        <w:rPr>
          <w:rFonts w:ascii="Arial" w:eastAsia="Arial" w:hAnsi="Arial" w:cs="Arial"/>
          <w:color w:val="7F7F7F"/>
          <w:sz w:val="22"/>
          <w:szCs w:val="22"/>
        </w:rPr>
        <w:t>Fera F. Salsabila. Evaluator. CoST</w:t>
      </w:r>
    </w:p>
    <w:p w14:paraId="64E23929" w14:textId="77777777" w:rsidR="002033A5" w:rsidRPr="00E619C8" w:rsidRDefault="002033A5">
      <w:pPr>
        <w:pBdr>
          <w:top w:val="nil"/>
          <w:left w:val="nil"/>
          <w:bottom w:val="nil"/>
          <w:right w:val="nil"/>
          <w:between w:val="nil"/>
        </w:pBdr>
        <w:spacing w:line="276" w:lineRule="auto"/>
        <w:jc w:val="both"/>
        <w:rPr>
          <w:rFonts w:ascii="Arial" w:eastAsia="Arial" w:hAnsi="Arial" w:cs="Arial"/>
          <w:color w:val="7F7F7F"/>
          <w:sz w:val="22"/>
          <w:szCs w:val="22"/>
        </w:rPr>
      </w:pPr>
    </w:p>
    <w:p w14:paraId="55B7C99D" w14:textId="77777777" w:rsidR="002033A5" w:rsidRPr="00E619C8" w:rsidRDefault="00E113EC">
      <w:pPr>
        <w:pBdr>
          <w:top w:val="nil"/>
          <w:left w:val="nil"/>
          <w:bottom w:val="nil"/>
          <w:right w:val="nil"/>
          <w:between w:val="nil"/>
        </w:pBdr>
        <w:spacing w:line="276" w:lineRule="auto"/>
        <w:jc w:val="both"/>
        <w:rPr>
          <w:rFonts w:ascii="Arial" w:eastAsia="Arial" w:hAnsi="Arial" w:cs="Arial"/>
          <w:sz w:val="22"/>
          <w:szCs w:val="22"/>
        </w:rPr>
      </w:pPr>
      <w:r w:rsidRPr="00E619C8">
        <w:rPr>
          <w:rFonts w:ascii="Arial" w:eastAsia="Arial" w:hAnsi="Arial" w:cs="Arial"/>
          <w:sz w:val="22"/>
          <w:szCs w:val="22"/>
        </w:rPr>
        <w:t>National coordination:</w:t>
      </w:r>
    </w:p>
    <w:sdt>
      <w:sdtPr>
        <w:tag w:val="goog_rdk_0"/>
        <w:id w:val="470817225"/>
      </w:sdtPr>
      <w:sdtContent>
        <w:p w14:paraId="06BE5F36" w14:textId="77777777" w:rsidR="002033A5" w:rsidRPr="00E619C8" w:rsidRDefault="00E113EC">
          <w:pPr>
            <w:pBdr>
              <w:top w:val="nil"/>
              <w:left w:val="nil"/>
              <w:bottom w:val="nil"/>
              <w:right w:val="nil"/>
              <w:between w:val="nil"/>
            </w:pBdr>
            <w:spacing w:line="276" w:lineRule="auto"/>
            <w:jc w:val="both"/>
            <w:rPr>
              <w:rFonts w:ascii="Arial" w:eastAsia="Arial" w:hAnsi="Arial" w:cs="Arial"/>
              <w:color w:val="7F7F7F"/>
              <w:sz w:val="22"/>
              <w:szCs w:val="22"/>
            </w:rPr>
          </w:pPr>
          <w:r w:rsidRPr="00E619C8">
            <w:rPr>
              <w:rFonts w:ascii="Arial" w:eastAsia="Arial" w:hAnsi="Arial" w:cs="Arial"/>
              <w:color w:val="7F7F7F"/>
              <w:sz w:val="22"/>
              <w:szCs w:val="22"/>
            </w:rPr>
            <w:t>Ahmad Muharror. CoST NTB Manager</w:t>
          </w:r>
        </w:p>
      </w:sdtContent>
    </w:sdt>
    <w:p w14:paraId="50573F8E" w14:textId="77777777" w:rsidR="002033A5" w:rsidRPr="00E619C8" w:rsidRDefault="002033A5">
      <w:pPr>
        <w:pBdr>
          <w:top w:val="nil"/>
          <w:left w:val="nil"/>
          <w:bottom w:val="nil"/>
          <w:right w:val="nil"/>
          <w:between w:val="nil"/>
        </w:pBdr>
        <w:spacing w:line="276" w:lineRule="auto"/>
        <w:jc w:val="both"/>
        <w:rPr>
          <w:rFonts w:ascii="Arial" w:eastAsia="Arial" w:hAnsi="Arial" w:cs="Arial"/>
          <w:sz w:val="22"/>
          <w:szCs w:val="22"/>
        </w:rPr>
      </w:pPr>
    </w:p>
    <w:p w14:paraId="3E2E197B" w14:textId="77777777" w:rsidR="002033A5" w:rsidRPr="00E619C8" w:rsidRDefault="00E113EC">
      <w:pPr>
        <w:pBdr>
          <w:top w:val="nil"/>
          <w:left w:val="nil"/>
          <w:bottom w:val="nil"/>
          <w:right w:val="nil"/>
          <w:between w:val="nil"/>
        </w:pBdr>
        <w:spacing w:line="276" w:lineRule="auto"/>
        <w:jc w:val="both"/>
        <w:rPr>
          <w:rFonts w:ascii="Arial" w:eastAsia="Arial" w:hAnsi="Arial" w:cs="Arial"/>
          <w:sz w:val="22"/>
          <w:szCs w:val="22"/>
        </w:rPr>
      </w:pPr>
      <w:r w:rsidRPr="00E619C8">
        <w:rPr>
          <w:rFonts w:ascii="Arial" w:eastAsia="Arial" w:hAnsi="Arial" w:cs="Arial"/>
          <w:sz w:val="22"/>
          <w:szCs w:val="22"/>
        </w:rPr>
        <w:t xml:space="preserve">International coordination: </w:t>
      </w:r>
    </w:p>
    <w:p w14:paraId="099456EF" w14:textId="77777777" w:rsidR="002033A5" w:rsidRPr="00E619C8" w:rsidRDefault="00E113EC">
      <w:pPr>
        <w:pBdr>
          <w:top w:val="nil"/>
          <w:left w:val="nil"/>
          <w:bottom w:val="nil"/>
          <w:right w:val="nil"/>
          <w:between w:val="nil"/>
        </w:pBdr>
        <w:spacing w:line="276" w:lineRule="auto"/>
        <w:jc w:val="both"/>
        <w:rPr>
          <w:rFonts w:ascii="Arial" w:eastAsia="Arial" w:hAnsi="Arial" w:cs="Arial"/>
          <w:color w:val="7F7F7F"/>
          <w:sz w:val="22"/>
          <w:szCs w:val="22"/>
        </w:rPr>
      </w:pPr>
      <w:r w:rsidRPr="00E619C8">
        <w:rPr>
          <w:rFonts w:ascii="Arial" w:eastAsia="Arial" w:hAnsi="Arial" w:cs="Arial"/>
          <w:color w:val="7F7F7F"/>
          <w:sz w:val="22"/>
          <w:szCs w:val="22"/>
        </w:rPr>
        <w:t>David Zamora. International Consultant. CoST</w:t>
      </w:r>
    </w:p>
    <w:p w14:paraId="1AD7BABC" w14:textId="77777777" w:rsidR="002033A5" w:rsidRPr="00E619C8" w:rsidRDefault="00E113EC">
      <w:pPr>
        <w:pBdr>
          <w:top w:val="nil"/>
          <w:left w:val="nil"/>
          <w:bottom w:val="nil"/>
          <w:right w:val="nil"/>
          <w:between w:val="nil"/>
        </w:pBdr>
        <w:spacing w:line="276" w:lineRule="auto"/>
        <w:jc w:val="both"/>
        <w:rPr>
          <w:rFonts w:ascii="Arial" w:eastAsia="Arial" w:hAnsi="Arial" w:cs="Arial"/>
          <w:color w:val="7F7F7F"/>
          <w:sz w:val="22"/>
          <w:szCs w:val="22"/>
        </w:rPr>
      </w:pPr>
      <w:r w:rsidRPr="00E619C8">
        <w:rPr>
          <w:rFonts w:ascii="Arial" w:eastAsia="Arial" w:hAnsi="Arial" w:cs="Arial"/>
          <w:color w:val="7F7F7F"/>
          <w:sz w:val="22"/>
          <w:szCs w:val="22"/>
        </w:rPr>
        <w:t>Evelyn Hernandez. Head of Members and Affiliate Programmes. CoST</w:t>
      </w:r>
    </w:p>
    <w:p w14:paraId="612382B4" w14:textId="77777777" w:rsidR="002033A5" w:rsidRPr="00E619C8" w:rsidRDefault="002033A5">
      <w:pPr>
        <w:pBdr>
          <w:top w:val="nil"/>
          <w:left w:val="nil"/>
          <w:bottom w:val="nil"/>
          <w:right w:val="nil"/>
          <w:between w:val="nil"/>
        </w:pBdr>
        <w:spacing w:line="276" w:lineRule="auto"/>
        <w:jc w:val="both"/>
        <w:rPr>
          <w:rFonts w:ascii="Arial" w:eastAsia="Arial" w:hAnsi="Arial" w:cs="Arial"/>
          <w:color w:val="000000"/>
          <w:sz w:val="22"/>
          <w:szCs w:val="22"/>
        </w:rPr>
      </w:pPr>
    </w:p>
    <w:p w14:paraId="2A5A2D60" w14:textId="77777777" w:rsidR="002033A5" w:rsidRPr="00E619C8" w:rsidRDefault="002033A5">
      <w:pPr>
        <w:pBdr>
          <w:top w:val="nil"/>
          <w:left w:val="nil"/>
          <w:bottom w:val="nil"/>
          <w:right w:val="nil"/>
          <w:between w:val="nil"/>
        </w:pBdr>
        <w:spacing w:line="276" w:lineRule="auto"/>
        <w:jc w:val="both"/>
        <w:rPr>
          <w:rFonts w:ascii="Arial" w:eastAsia="Arial" w:hAnsi="Arial" w:cs="Arial"/>
          <w:sz w:val="22"/>
          <w:szCs w:val="22"/>
        </w:rPr>
      </w:pPr>
    </w:p>
    <w:p w14:paraId="608B8A9F" w14:textId="77777777" w:rsidR="002033A5" w:rsidRPr="00E619C8" w:rsidRDefault="002033A5">
      <w:pPr>
        <w:pBdr>
          <w:top w:val="nil"/>
          <w:left w:val="nil"/>
          <w:bottom w:val="nil"/>
          <w:right w:val="nil"/>
          <w:between w:val="nil"/>
        </w:pBdr>
        <w:spacing w:line="276" w:lineRule="auto"/>
        <w:jc w:val="both"/>
        <w:rPr>
          <w:rFonts w:ascii="Arial" w:eastAsia="Arial" w:hAnsi="Arial" w:cs="Arial"/>
          <w:sz w:val="22"/>
          <w:szCs w:val="22"/>
        </w:rPr>
      </w:pPr>
    </w:p>
    <w:p w14:paraId="6451F24A" w14:textId="77777777" w:rsidR="002033A5" w:rsidRPr="00E619C8" w:rsidRDefault="002033A5">
      <w:pPr>
        <w:pBdr>
          <w:top w:val="nil"/>
          <w:left w:val="nil"/>
          <w:bottom w:val="nil"/>
          <w:right w:val="nil"/>
          <w:between w:val="nil"/>
        </w:pBdr>
        <w:spacing w:line="276" w:lineRule="auto"/>
        <w:jc w:val="both"/>
        <w:rPr>
          <w:rFonts w:ascii="Arial" w:eastAsia="Arial" w:hAnsi="Arial" w:cs="Arial"/>
          <w:sz w:val="22"/>
          <w:szCs w:val="22"/>
        </w:rPr>
      </w:pPr>
    </w:p>
    <w:p w14:paraId="36C8FCBD" w14:textId="77777777" w:rsidR="002033A5" w:rsidRPr="00E619C8" w:rsidRDefault="002033A5">
      <w:pPr>
        <w:pBdr>
          <w:top w:val="nil"/>
          <w:left w:val="nil"/>
          <w:bottom w:val="nil"/>
          <w:right w:val="nil"/>
          <w:between w:val="nil"/>
        </w:pBdr>
        <w:spacing w:line="276" w:lineRule="auto"/>
        <w:jc w:val="both"/>
        <w:rPr>
          <w:rFonts w:ascii="Arial" w:eastAsia="Arial" w:hAnsi="Arial" w:cs="Arial"/>
          <w:sz w:val="22"/>
          <w:szCs w:val="22"/>
        </w:rPr>
      </w:pPr>
    </w:p>
    <w:p w14:paraId="5794C22A" w14:textId="77777777" w:rsidR="002033A5" w:rsidRPr="00E619C8" w:rsidRDefault="002033A5">
      <w:pPr>
        <w:pBdr>
          <w:top w:val="nil"/>
          <w:left w:val="nil"/>
          <w:bottom w:val="nil"/>
          <w:right w:val="nil"/>
          <w:between w:val="nil"/>
        </w:pBdr>
        <w:spacing w:line="276" w:lineRule="auto"/>
        <w:jc w:val="both"/>
        <w:rPr>
          <w:rFonts w:ascii="Arial" w:eastAsia="Arial" w:hAnsi="Arial" w:cs="Arial"/>
          <w:sz w:val="22"/>
          <w:szCs w:val="22"/>
        </w:rPr>
      </w:pPr>
    </w:p>
    <w:p w14:paraId="00E9A77E" w14:textId="77777777" w:rsidR="002033A5" w:rsidRPr="00E619C8" w:rsidRDefault="002033A5">
      <w:pPr>
        <w:pBdr>
          <w:top w:val="nil"/>
          <w:left w:val="nil"/>
          <w:bottom w:val="nil"/>
          <w:right w:val="nil"/>
          <w:between w:val="nil"/>
        </w:pBdr>
        <w:spacing w:line="276" w:lineRule="auto"/>
        <w:jc w:val="both"/>
        <w:rPr>
          <w:rFonts w:ascii="Arial" w:eastAsia="Arial" w:hAnsi="Arial" w:cs="Arial"/>
          <w:sz w:val="22"/>
          <w:szCs w:val="22"/>
        </w:rPr>
      </w:pPr>
    </w:p>
    <w:p w14:paraId="1ECB4546" w14:textId="77777777" w:rsidR="002033A5" w:rsidRPr="00E619C8" w:rsidRDefault="00E113EC">
      <w:pPr>
        <w:pBdr>
          <w:top w:val="nil"/>
          <w:left w:val="nil"/>
          <w:bottom w:val="nil"/>
          <w:right w:val="nil"/>
          <w:between w:val="nil"/>
        </w:pBdr>
        <w:spacing w:line="276" w:lineRule="auto"/>
        <w:jc w:val="both"/>
        <w:rPr>
          <w:rFonts w:ascii="Arial" w:eastAsia="Arial" w:hAnsi="Arial" w:cs="Arial"/>
          <w:color w:val="7F7F7F"/>
          <w:sz w:val="22"/>
          <w:szCs w:val="22"/>
        </w:rPr>
      </w:pPr>
      <w:r w:rsidRPr="00E619C8">
        <w:rPr>
          <w:rFonts w:ascii="Arial" w:eastAsia="Arial" w:hAnsi="Arial" w:cs="Arial"/>
          <w:sz w:val="22"/>
          <w:szCs w:val="22"/>
        </w:rPr>
        <w:t>Disclaimer</w:t>
      </w:r>
    </w:p>
    <w:p w14:paraId="772D4041" w14:textId="3C554812" w:rsidR="002033A5" w:rsidRPr="00E619C8" w:rsidRDefault="00E113EC">
      <w:pPr>
        <w:pBdr>
          <w:top w:val="nil"/>
          <w:left w:val="nil"/>
          <w:bottom w:val="nil"/>
          <w:right w:val="nil"/>
          <w:between w:val="nil"/>
        </w:pBdr>
        <w:spacing w:line="276" w:lineRule="auto"/>
        <w:jc w:val="both"/>
        <w:rPr>
          <w:rFonts w:ascii="Arial" w:eastAsia="Arial" w:hAnsi="Arial" w:cs="Arial"/>
          <w:color w:val="7F7F7F"/>
          <w:sz w:val="22"/>
          <w:szCs w:val="22"/>
        </w:rPr>
      </w:pPr>
      <w:r w:rsidRPr="00E619C8">
        <w:rPr>
          <w:rFonts w:ascii="Arial" w:eastAsia="Arial" w:hAnsi="Arial" w:cs="Arial"/>
          <w:color w:val="7F7F7F"/>
          <w:sz w:val="22"/>
          <w:szCs w:val="22"/>
        </w:rPr>
        <w:t xml:space="preserve">This report presents the results of an evaluation </w:t>
      </w:r>
      <w:r w:rsidR="00DF70A7">
        <w:rPr>
          <w:rFonts w:ascii="Arial" w:eastAsia="Arial" w:hAnsi="Arial" w:cs="Arial"/>
          <w:color w:val="7F7F7F"/>
          <w:sz w:val="22"/>
          <w:szCs w:val="22"/>
        </w:rPr>
        <w:t>of transparency in the infrastructure sector</w:t>
      </w:r>
      <w:r w:rsidR="00A4188C">
        <w:rPr>
          <w:rFonts w:ascii="Arial" w:eastAsia="Arial" w:hAnsi="Arial" w:cs="Arial"/>
          <w:color w:val="7F7F7F"/>
          <w:sz w:val="22"/>
          <w:szCs w:val="22"/>
        </w:rPr>
        <w:t>, providing</w:t>
      </w:r>
      <w:r w:rsidR="00DF70A7">
        <w:rPr>
          <w:rFonts w:ascii="Arial" w:eastAsia="Arial" w:hAnsi="Arial" w:cs="Arial"/>
          <w:color w:val="7F7F7F"/>
          <w:sz w:val="22"/>
          <w:szCs w:val="22"/>
        </w:rPr>
        <w:t xml:space="preserve"> information </w:t>
      </w:r>
      <w:r w:rsidRPr="00E619C8">
        <w:rPr>
          <w:rFonts w:ascii="Arial" w:eastAsia="Arial" w:hAnsi="Arial" w:cs="Arial"/>
          <w:color w:val="7F7F7F"/>
          <w:sz w:val="22"/>
          <w:szCs w:val="22"/>
        </w:rPr>
        <w:t xml:space="preserve">to help strengthen public institutions. Like other evaluation instruments, its impact will depend on </w:t>
      </w:r>
      <w:r w:rsidR="002029C4">
        <w:rPr>
          <w:rFonts w:ascii="Arial" w:eastAsia="Arial" w:hAnsi="Arial" w:cs="Arial"/>
          <w:color w:val="7F7F7F"/>
          <w:sz w:val="22"/>
          <w:szCs w:val="22"/>
        </w:rPr>
        <w:t>how it is used</w:t>
      </w:r>
      <w:r w:rsidRPr="00E619C8">
        <w:rPr>
          <w:rFonts w:ascii="Arial" w:eastAsia="Arial" w:hAnsi="Arial" w:cs="Arial"/>
          <w:color w:val="7F7F7F"/>
          <w:sz w:val="22"/>
          <w:szCs w:val="22"/>
        </w:rPr>
        <w:t xml:space="preserve">. It is not a methodology </w:t>
      </w:r>
      <w:r w:rsidR="002029C4">
        <w:rPr>
          <w:rFonts w:ascii="Arial" w:eastAsia="Arial" w:hAnsi="Arial" w:cs="Arial"/>
          <w:color w:val="7F7F7F"/>
          <w:sz w:val="22"/>
          <w:szCs w:val="22"/>
        </w:rPr>
        <w:t>for evaluating corruption, not an instrument of internal control,</w:t>
      </w:r>
      <w:r w:rsidRPr="00E619C8">
        <w:rPr>
          <w:rFonts w:ascii="Arial" w:eastAsia="Arial" w:hAnsi="Arial" w:cs="Arial"/>
          <w:color w:val="7F7F7F"/>
          <w:sz w:val="22"/>
          <w:szCs w:val="22"/>
        </w:rPr>
        <w:t xml:space="preserve"> and does not assess perceptions. It does not evaluate public officials, nor does it measure the general quality of procuring entities. The evaluations and reports prepared </w:t>
      </w:r>
      <w:r w:rsidR="002029C4">
        <w:rPr>
          <w:rFonts w:ascii="Arial" w:eastAsia="Arial" w:hAnsi="Arial" w:cs="Arial"/>
          <w:color w:val="7F7F7F"/>
          <w:sz w:val="22"/>
          <w:szCs w:val="22"/>
        </w:rPr>
        <w:t>using this methodology do not represent CoST's opinion on</w:t>
      </w:r>
      <w:r w:rsidRPr="00E619C8">
        <w:rPr>
          <w:rFonts w:ascii="Arial" w:eastAsia="Arial" w:hAnsi="Arial" w:cs="Arial"/>
          <w:color w:val="7F7F7F"/>
          <w:sz w:val="22"/>
          <w:szCs w:val="22"/>
        </w:rPr>
        <w:t xml:space="preserve"> the administrative work of governments or procuring entities.</w:t>
      </w:r>
    </w:p>
    <w:p w14:paraId="1E07014D" w14:textId="77777777" w:rsidR="002033A5" w:rsidRPr="00E619C8" w:rsidRDefault="002033A5">
      <w:pPr>
        <w:pBdr>
          <w:top w:val="nil"/>
          <w:left w:val="nil"/>
          <w:bottom w:val="nil"/>
          <w:right w:val="nil"/>
          <w:between w:val="nil"/>
        </w:pBdr>
        <w:spacing w:line="276" w:lineRule="auto"/>
        <w:jc w:val="both"/>
        <w:rPr>
          <w:rFonts w:ascii="Arial" w:eastAsia="Arial" w:hAnsi="Arial" w:cs="Arial"/>
          <w:sz w:val="22"/>
          <w:szCs w:val="22"/>
        </w:rPr>
      </w:pPr>
    </w:p>
    <w:p w14:paraId="0DC9B6A0" w14:textId="77777777" w:rsidR="002033A5" w:rsidRPr="00E619C8" w:rsidRDefault="002033A5">
      <w:pPr>
        <w:pBdr>
          <w:top w:val="nil"/>
          <w:left w:val="nil"/>
          <w:bottom w:val="nil"/>
          <w:right w:val="nil"/>
          <w:between w:val="nil"/>
        </w:pBdr>
        <w:spacing w:line="276" w:lineRule="auto"/>
        <w:jc w:val="both"/>
        <w:rPr>
          <w:rFonts w:ascii="Arial" w:eastAsia="Arial" w:hAnsi="Arial" w:cs="Arial"/>
          <w:color w:val="000000"/>
          <w:sz w:val="22"/>
          <w:szCs w:val="22"/>
        </w:rPr>
      </w:pPr>
    </w:p>
    <w:p w14:paraId="0E6FCED3" w14:textId="77777777" w:rsidR="002033A5" w:rsidRPr="00E619C8" w:rsidRDefault="002033A5">
      <w:pPr>
        <w:pBdr>
          <w:top w:val="nil"/>
          <w:left w:val="nil"/>
          <w:bottom w:val="nil"/>
          <w:right w:val="nil"/>
          <w:between w:val="nil"/>
        </w:pBdr>
        <w:spacing w:line="276" w:lineRule="auto"/>
        <w:jc w:val="both"/>
        <w:rPr>
          <w:rFonts w:ascii="Arial" w:eastAsia="Arial" w:hAnsi="Arial" w:cs="Arial"/>
          <w:color w:val="000000"/>
          <w:sz w:val="22"/>
          <w:szCs w:val="22"/>
        </w:rPr>
      </w:pPr>
      <w:hyperlink r:id="rId18">
        <w:r w:rsidRPr="00E619C8">
          <w:rPr>
            <w:rFonts w:ascii="Arial" w:eastAsia="Arial" w:hAnsi="Arial" w:cs="Arial"/>
            <w:noProof/>
            <w:color w:val="1155CC"/>
            <w:sz w:val="22"/>
            <w:szCs w:val="22"/>
            <w:u w:val="single"/>
          </w:rPr>
          <w:drawing>
            <wp:inline distT="0" distB="0" distL="0" distR="0" wp14:anchorId="25CA4313" wp14:editId="5B7BF9EE">
              <wp:extent cx="852488" cy="299949"/>
              <wp:effectExtent l="0" t="0" r="0" b="0"/>
              <wp:docPr id="1857035771" name="image32.png" descr="Licencia de Creative Commons"/>
              <wp:cNvGraphicFramePr/>
              <a:graphic xmlns:a="http://schemas.openxmlformats.org/drawingml/2006/main">
                <a:graphicData uri="http://schemas.openxmlformats.org/drawingml/2006/picture">
                  <pic:pic xmlns:pic="http://schemas.openxmlformats.org/drawingml/2006/picture">
                    <pic:nvPicPr>
                      <pic:cNvPr id="0" name="image32.png" descr="Licencia de Creative Commons"/>
                      <pic:cNvPicPr preferRelativeResize="0"/>
                    </pic:nvPicPr>
                    <pic:blipFill>
                      <a:blip r:embed="rId19"/>
                      <a:srcRect/>
                      <a:stretch>
                        <a:fillRect/>
                      </a:stretch>
                    </pic:blipFill>
                    <pic:spPr>
                      <a:xfrm>
                        <a:off x="0" y="0"/>
                        <a:ext cx="852488" cy="299949"/>
                      </a:xfrm>
                      <a:prstGeom prst="rect">
                        <a:avLst/>
                      </a:prstGeom>
                      <a:ln/>
                    </pic:spPr>
                  </pic:pic>
                </a:graphicData>
              </a:graphic>
            </wp:inline>
          </w:drawing>
        </w:r>
      </w:hyperlink>
    </w:p>
    <w:p w14:paraId="725E3F0E" w14:textId="77777777" w:rsidR="002033A5" w:rsidRPr="00E619C8" w:rsidRDefault="002033A5">
      <w:pPr>
        <w:pBdr>
          <w:top w:val="nil"/>
          <w:left w:val="nil"/>
          <w:bottom w:val="nil"/>
          <w:right w:val="nil"/>
          <w:between w:val="nil"/>
        </w:pBdr>
        <w:jc w:val="both"/>
        <w:rPr>
          <w:rFonts w:ascii="Calibri" w:eastAsia="Calibri" w:hAnsi="Calibri" w:cs="Calibri"/>
          <w:color w:val="000000"/>
          <w:sz w:val="4"/>
          <w:szCs w:val="4"/>
        </w:rPr>
      </w:pPr>
    </w:p>
    <w:p w14:paraId="24A5E417" w14:textId="77777777" w:rsidR="002033A5" w:rsidRPr="00E619C8" w:rsidRDefault="00E113EC">
      <w:pPr>
        <w:rPr>
          <w:rFonts w:ascii="Arial" w:eastAsia="Arial" w:hAnsi="Arial" w:cs="Arial"/>
          <w:sz w:val="22"/>
          <w:szCs w:val="22"/>
        </w:rPr>
      </w:pPr>
      <w:r w:rsidRPr="00E619C8">
        <w:rPr>
          <w:rFonts w:ascii="Arial" w:eastAsia="Arial" w:hAnsi="Arial" w:cs="Arial"/>
          <w:color w:val="464646"/>
          <w:sz w:val="22"/>
          <w:szCs w:val="22"/>
          <w:highlight w:val="white"/>
        </w:rPr>
        <w:t xml:space="preserve">This work is licensed under a </w:t>
      </w:r>
      <w:hyperlink r:id="rId20">
        <w:r w:rsidR="002033A5" w:rsidRPr="00E619C8">
          <w:rPr>
            <w:rFonts w:ascii="Arial" w:eastAsia="Arial" w:hAnsi="Arial" w:cs="Arial"/>
            <w:color w:val="049CCF"/>
            <w:sz w:val="22"/>
            <w:szCs w:val="22"/>
            <w:highlight w:val="white"/>
          </w:rPr>
          <w:t>Creative Commons Attribution 4.0 International License</w:t>
        </w:r>
      </w:hyperlink>
      <w:r w:rsidRPr="00E619C8">
        <w:rPr>
          <w:rFonts w:ascii="Arial" w:eastAsia="Arial" w:hAnsi="Arial" w:cs="Arial"/>
          <w:color w:val="464646"/>
          <w:sz w:val="22"/>
          <w:szCs w:val="22"/>
          <w:highlight w:val="white"/>
        </w:rPr>
        <w:t>.</w:t>
      </w:r>
    </w:p>
    <w:p w14:paraId="7A39C78C" w14:textId="10BAA894" w:rsidR="002033A5" w:rsidRPr="00E619C8" w:rsidRDefault="007D7E02" w:rsidP="003135B4">
      <w:pPr>
        <w:pBdr>
          <w:top w:val="nil"/>
          <w:left w:val="nil"/>
          <w:bottom w:val="nil"/>
          <w:right w:val="nil"/>
          <w:between w:val="nil"/>
        </w:pBdr>
        <w:spacing w:before="120"/>
        <w:jc w:val="both"/>
        <w:rPr>
          <w:rFonts w:ascii="Calibri" w:eastAsia="Calibri" w:hAnsi="Calibri" w:cs="Calibri"/>
          <w:color w:val="000000"/>
        </w:rPr>
      </w:pPr>
      <w:r w:rsidRPr="00E619C8">
        <w:rPr>
          <w:rFonts w:ascii="Calibri" w:eastAsia="Calibri" w:hAnsi="Calibri" w:cs="Calibri"/>
          <w:b/>
          <w:bCs/>
          <w:sz w:val="28"/>
          <w:szCs w:val="28"/>
        </w:rPr>
        <w:t>April</w:t>
      </w:r>
      <w:r w:rsidR="00702DCB" w:rsidRPr="00E619C8">
        <w:rPr>
          <w:rFonts w:ascii="Calibri" w:eastAsia="Calibri" w:hAnsi="Calibri" w:cs="Calibri"/>
          <w:b/>
          <w:bCs/>
          <w:sz w:val="28"/>
          <w:szCs w:val="28"/>
        </w:rPr>
        <w:t xml:space="preserve"> </w:t>
      </w:r>
      <w:r w:rsidRPr="00E619C8">
        <w:rPr>
          <w:rFonts w:ascii="Calibri" w:eastAsia="Calibri" w:hAnsi="Calibri" w:cs="Calibri"/>
          <w:b/>
          <w:bCs/>
          <w:sz w:val="28"/>
          <w:szCs w:val="28"/>
        </w:rPr>
        <w:t>2026</w:t>
      </w:r>
      <w:r w:rsidRPr="00E619C8">
        <w:br w:type="page"/>
      </w:r>
    </w:p>
    <w:sdt>
      <w:sdtPr>
        <w:rPr>
          <w:rFonts w:ascii="Times New Roman" w:eastAsia="Times New Roman" w:hAnsi="Times New Roman" w:cs="Times New Roman"/>
          <w:color w:val="auto"/>
          <w:sz w:val="24"/>
          <w:szCs w:val="24"/>
        </w:rPr>
        <w:id w:val="1444500014"/>
        <w:docPartObj>
          <w:docPartGallery w:val="Table of Contents"/>
          <w:docPartUnique/>
        </w:docPartObj>
      </w:sdtPr>
      <w:sdtEndPr>
        <w:rPr>
          <w:rFonts w:ascii="Arial" w:hAnsi="Arial" w:cs="Arial"/>
          <w:b/>
          <w:bCs/>
        </w:rPr>
      </w:sdtEndPr>
      <w:sdtContent>
        <w:p w14:paraId="2FFD09C4" w14:textId="5FF73DDB" w:rsidR="003135B4" w:rsidRPr="00E619C8" w:rsidRDefault="003135B4">
          <w:pPr>
            <w:pStyle w:val="TOCHeading"/>
            <w:rPr>
              <w:rFonts w:ascii="Arial" w:hAnsi="Arial" w:cs="Arial"/>
              <w:b/>
              <w:bCs/>
              <w:color w:val="C00000"/>
              <w:sz w:val="48"/>
              <w:szCs w:val="48"/>
            </w:rPr>
          </w:pPr>
          <w:r w:rsidRPr="00E619C8">
            <w:rPr>
              <w:rFonts w:ascii="Arial" w:hAnsi="Arial" w:cs="Arial"/>
              <w:b/>
              <w:bCs/>
              <w:color w:val="C00000"/>
              <w:sz w:val="48"/>
              <w:szCs w:val="48"/>
            </w:rPr>
            <w:t>Table of Contents</w:t>
          </w:r>
        </w:p>
        <w:p w14:paraId="6F7FC336" w14:textId="77777777" w:rsidR="003135B4" w:rsidRPr="00E619C8" w:rsidRDefault="003135B4" w:rsidP="003135B4">
          <w:pPr>
            <w:rPr>
              <w:rFonts w:ascii="Arial" w:hAnsi="Arial" w:cs="Arial"/>
            </w:rPr>
          </w:pPr>
        </w:p>
        <w:p w14:paraId="61EFC24A" w14:textId="55BC2A39" w:rsidR="00E740DD" w:rsidRPr="002029C4" w:rsidRDefault="003135B4">
          <w:pPr>
            <w:pStyle w:val="TOC1"/>
            <w:tabs>
              <w:tab w:val="right" w:leader="dot" w:pos="9016"/>
            </w:tabs>
            <w:rPr>
              <w:rFonts w:ascii="Arial" w:eastAsiaTheme="minorEastAsia" w:hAnsi="Arial" w:cs="Arial"/>
              <w:b w:val="0"/>
              <w:bCs w:val="0"/>
              <w:caps w:val="0"/>
              <w:kern w:val="2"/>
              <w:sz w:val="22"/>
              <w:szCs w:val="22"/>
              <w:lang w:eastAsia="en-US"/>
              <w14:ligatures w14:val="standardContextual"/>
            </w:rPr>
          </w:pPr>
          <w:r w:rsidRPr="00E619C8">
            <w:rPr>
              <w:rFonts w:ascii="Arial" w:hAnsi="Arial" w:cs="Arial"/>
              <w:b w:val="0"/>
              <w:bCs w:val="0"/>
              <w:sz w:val="22"/>
              <w:szCs w:val="22"/>
            </w:rPr>
            <w:fldChar w:fldCharType="begin"/>
          </w:r>
          <w:r w:rsidRPr="00E619C8">
            <w:rPr>
              <w:rFonts w:ascii="Arial" w:hAnsi="Arial" w:cs="Arial"/>
              <w:sz w:val="22"/>
              <w:szCs w:val="22"/>
            </w:rPr>
            <w:instrText xml:space="preserve"> TOC \o "1-3" \h \z \u </w:instrText>
          </w:r>
          <w:r w:rsidRPr="00E619C8">
            <w:rPr>
              <w:rFonts w:ascii="Arial" w:hAnsi="Arial" w:cs="Arial"/>
              <w:b w:val="0"/>
              <w:bCs w:val="0"/>
              <w:sz w:val="22"/>
              <w:szCs w:val="22"/>
            </w:rPr>
            <w:fldChar w:fldCharType="separate"/>
          </w:r>
          <w:hyperlink w:anchor="_Toc227235244" w:history="1">
            <w:r w:rsidR="00E740DD" w:rsidRPr="002029C4">
              <w:rPr>
                <w:rStyle w:val="Hyperlink"/>
                <w:rFonts w:ascii="Arial" w:eastAsia="Arial" w:hAnsi="Arial" w:cs="Arial"/>
                <w:sz w:val="22"/>
                <w:szCs w:val="22"/>
              </w:rPr>
              <w:t>Chapter 1 | Infrastructure Transparency Index</w:t>
            </w:r>
            <w:r w:rsidR="00E740DD" w:rsidRPr="002029C4">
              <w:rPr>
                <w:rFonts w:ascii="Arial" w:hAnsi="Arial" w:cs="Arial"/>
                <w:webHidden/>
                <w:sz w:val="22"/>
                <w:szCs w:val="22"/>
              </w:rPr>
              <w:tab/>
            </w:r>
            <w:r w:rsidR="00E740DD" w:rsidRPr="002029C4">
              <w:rPr>
                <w:rFonts w:ascii="Arial" w:hAnsi="Arial" w:cs="Arial"/>
                <w:webHidden/>
                <w:sz w:val="22"/>
                <w:szCs w:val="22"/>
              </w:rPr>
              <w:fldChar w:fldCharType="begin"/>
            </w:r>
            <w:r w:rsidR="00E740DD" w:rsidRPr="002029C4">
              <w:rPr>
                <w:rFonts w:ascii="Arial" w:hAnsi="Arial" w:cs="Arial"/>
                <w:webHidden/>
                <w:sz w:val="22"/>
                <w:szCs w:val="22"/>
              </w:rPr>
              <w:instrText xml:space="preserve"> PAGEREF _Toc227235244 \h </w:instrText>
            </w:r>
            <w:r w:rsidR="00E740DD" w:rsidRPr="002029C4">
              <w:rPr>
                <w:rFonts w:ascii="Arial" w:hAnsi="Arial" w:cs="Arial"/>
                <w:webHidden/>
                <w:sz w:val="22"/>
                <w:szCs w:val="22"/>
              </w:rPr>
            </w:r>
            <w:r w:rsidR="00E740DD" w:rsidRPr="002029C4">
              <w:rPr>
                <w:rFonts w:ascii="Arial" w:hAnsi="Arial" w:cs="Arial"/>
                <w:webHidden/>
                <w:sz w:val="22"/>
                <w:szCs w:val="22"/>
              </w:rPr>
              <w:fldChar w:fldCharType="separate"/>
            </w:r>
            <w:r w:rsidR="00E740DD" w:rsidRPr="002029C4">
              <w:rPr>
                <w:rFonts w:ascii="Arial" w:hAnsi="Arial" w:cs="Arial"/>
                <w:webHidden/>
                <w:sz w:val="22"/>
                <w:szCs w:val="22"/>
              </w:rPr>
              <w:t>4</w:t>
            </w:r>
            <w:r w:rsidR="00E740DD" w:rsidRPr="002029C4">
              <w:rPr>
                <w:rFonts w:ascii="Arial" w:hAnsi="Arial" w:cs="Arial"/>
                <w:webHidden/>
                <w:sz w:val="22"/>
                <w:szCs w:val="22"/>
              </w:rPr>
              <w:fldChar w:fldCharType="end"/>
            </w:r>
          </w:hyperlink>
        </w:p>
        <w:p w14:paraId="45FD75D0" w14:textId="516582EB" w:rsidR="00E740DD" w:rsidRPr="002029C4" w:rsidRDefault="00E740DD">
          <w:pPr>
            <w:pStyle w:val="TOC2"/>
            <w:rPr>
              <w:rFonts w:eastAsiaTheme="minorEastAsia"/>
              <w:b w:val="0"/>
              <w:bCs w:val="0"/>
              <w:smallCaps w:val="0"/>
              <w:noProof w:val="0"/>
              <w:kern w:val="2"/>
              <w:sz w:val="22"/>
              <w:szCs w:val="22"/>
              <w:lang w:eastAsia="en-US"/>
              <w14:ligatures w14:val="standardContextual"/>
            </w:rPr>
          </w:pPr>
          <w:hyperlink w:anchor="_Toc227235245" w:history="1">
            <w:r w:rsidRPr="002029C4">
              <w:rPr>
                <w:rStyle w:val="Hyperlink"/>
                <w:b w:val="0"/>
                <w:bCs w:val="0"/>
                <w:noProof w:val="0"/>
                <w:sz w:val="22"/>
                <w:szCs w:val="22"/>
              </w:rPr>
              <w:t>1.1 CoST Approach</w:t>
            </w:r>
            <w:r w:rsidRPr="002029C4">
              <w:rPr>
                <w:b w:val="0"/>
                <w:bCs w:val="0"/>
                <w:noProof w:val="0"/>
                <w:webHidden/>
                <w:sz w:val="22"/>
                <w:szCs w:val="22"/>
              </w:rPr>
              <w:tab/>
            </w:r>
            <w:r w:rsidRPr="002029C4">
              <w:rPr>
                <w:b w:val="0"/>
                <w:bCs w:val="0"/>
                <w:noProof w:val="0"/>
                <w:webHidden/>
                <w:sz w:val="22"/>
                <w:szCs w:val="22"/>
              </w:rPr>
              <w:fldChar w:fldCharType="begin"/>
            </w:r>
            <w:r w:rsidRPr="002029C4">
              <w:rPr>
                <w:b w:val="0"/>
                <w:bCs w:val="0"/>
                <w:noProof w:val="0"/>
                <w:webHidden/>
                <w:sz w:val="22"/>
                <w:szCs w:val="22"/>
              </w:rPr>
              <w:instrText xml:space="preserve"> PAGEREF _Toc227235245 \h </w:instrText>
            </w:r>
            <w:r w:rsidRPr="002029C4">
              <w:rPr>
                <w:b w:val="0"/>
                <w:bCs w:val="0"/>
                <w:noProof w:val="0"/>
                <w:webHidden/>
                <w:sz w:val="22"/>
                <w:szCs w:val="22"/>
              </w:rPr>
            </w:r>
            <w:r w:rsidRPr="002029C4">
              <w:rPr>
                <w:b w:val="0"/>
                <w:bCs w:val="0"/>
                <w:noProof w:val="0"/>
                <w:webHidden/>
                <w:sz w:val="22"/>
                <w:szCs w:val="22"/>
              </w:rPr>
              <w:fldChar w:fldCharType="separate"/>
            </w:r>
            <w:r w:rsidRPr="002029C4">
              <w:rPr>
                <w:b w:val="0"/>
                <w:bCs w:val="0"/>
                <w:noProof w:val="0"/>
                <w:webHidden/>
                <w:sz w:val="22"/>
                <w:szCs w:val="22"/>
              </w:rPr>
              <w:t>4</w:t>
            </w:r>
            <w:r w:rsidRPr="002029C4">
              <w:rPr>
                <w:b w:val="0"/>
                <w:bCs w:val="0"/>
                <w:noProof w:val="0"/>
                <w:webHidden/>
                <w:sz w:val="22"/>
                <w:szCs w:val="22"/>
              </w:rPr>
              <w:fldChar w:fldCharType="end"/>
            </w:r>
          </w:hyperlink>
        </w:p>
        <w:p w14:paraId="279D79BE" w14:textId="464A51DA" w:rsidR="00E740DD" w:rsidRPr="002029C4" w:rsidRDefault="00E740DD">
          <w:pPr>
            <w:pStyle w:val="TOC3"/>
            <w:rPr>
              <w:rFonts w:eastAsiaTheme="minorEastAsia"/>
              <w:b w:val="0"/>
              <w:bCs w:val="0"/>
              <w:i w:val="0"/>
              <w:iCs w:val="0"/>
              <w:noProof w:val="0"/>
              <w:kern w:val="2"/>
              <w:sz w:val="22"/>
              <w:szCs w:val="22"/>
              <w:lang w:val="en-GB" w:eastAsia="en-US"/>
              <w14:ligatures w14:val="standardContextual"/>
            </w:rPr>
          </w:pPr>
          <w:hyperlink w:anchor="_Toc227235246" w:history="1">
            <w:r w:rsidRPr="002029C4">
              <w:rPr>
                <w:rStyle w:val="Hyperlink"/>
                <w:b w:val="0"/>
                <w:bCs w:val="0"/>
                <w:i w:val="0"/>
                <w:iCs w:val="0"/>
                <w:noProof w:val="0"/>
                <w:sz w:val="22"/>
                <w:szCs w:val="22"/>
                <w:lang w:val="en-GB"/>
              </w:rPr>
              <w:t>1.1.1 About CoST NTB</w:t>
            </w:r>
            <w:r w:rsidRPr="002029C4">
              <w:rPr>
                <w:b w:val="0"/>
                <w:bCs w:val="0"/>
                <w:i w:val="0"/>
                <w:iCs w:val="0"/>
                <w:noProof w:val="0"/>
                <w:webHidden/>
                <w:sz w:val="22"/>
                <w:szCs w:val="22"/>
                <w:lang w:val="en-GB"/>
              </w:rPr>
              <w:tab/>
            </w:r>
            <w:r w:rsidRPr="002029C4">
              <w:rPr>
                <w:b w:val="0"/>
                <w:bCs w:val="0"/>
                <w:i w:val="0"/>
                <w:iCs w:val="0"/>
                <w:noProof w:val="0"/>
                <w:webHidden/>
                <w:sz w:val="22"/>
                <w:szCs w:val="22"/>
                <w:lang w:val="en-GB"/>
              </w:rPr>
              <w:fldChar w:fldCharType="begin"/>
            </w:r>
            <w:r w:rsidRPr="002029C4">
              <w:rPr>
                <w:b w:val="0"/>
                <w:bCs w:val="0"/>
                <w:i w:val="0"/>
                <w:iCs w:val="0"/>
                <w:noProof w:val="0"/>
                <w:webHidden/>
                <w:sz w:val="22"/>
                <w:szCs w:val="22"/>
                <w:lang w:val="en-GB"/>
              </w:rPr>
              <w:instrText xml:space="preserve"> PAGEREF _Toc227235246 \h </w:instrText>
            </w:r>
            <w:r w:rsidRPr="002029C4">
              <w:rPr>
                <w:b w:val="0"/>
                <w:bCs w:val="0"/>
                <w:i w:val="0"/>
                <w:iCs w:val="0"/>
                <w:noProof w:val="0"/>
                <w:webHidden/>
                <w:sz w:val="22"/>
                <w:szCs w:val="22"/>
                <w:lang w:val="en-GB"/>
              </w:rPr>
            </w:r>
            <w:r w:rsidRPr="002029C4">
              <w:rPr>
                <w:b w:val="0"/>
                <w:bCs w:val="0"/>
                <w:i w:val="0"/>
                <w:iCs w:val="0"/>
                <w:noProof w:val="0"/>
                <w:webHidden/>
                <w:sz w:val="22"/>
                <w:szCs w:val="22"/>
                <w:lang w:val="en-GB"/>
              </w:rPr>
              <w:fldChar w:fldCharType="separate"/>
            </w:r>
            <w:r w:rsidRPr="002029C4">
              <w:rPr>
                <w:b w:val="0"/>
                <w:bCs w:val="0"/>
                <w:i w:val="0"/>
                <w:iCs w:val="0"/>
                <w:noProof w:val="0"/>
                <w:webHidden/>
                <w:sz w:val="22"/>
                <w:szCs w:val="22"/>
                <w:lang w:val="en-GB"/>
              </w:rPr>
              <w:t>5</w:t>
            </w:r>
            <w:r w:rsidRPr="002029C4">
              <w:rPr>
                <w:b w:val="0"/>
                <w:bCs w:val="0"/>
                <w:i w:val="0"/>
                <w:iCs w:val="0"/>
                <w:noProof w:val="0"/>
                <w:webHidden/>
                <w:sz w:val="22"/>
                <w:szCs w:val="22"/>
                <w:lang w:val="en-GB"/>
              </w:rPr>
              <w:fldChar w:fldCharType="end"/>
            </w:r>
          </w:hyperlink>
        </w:p>
        <w:p w14:paraId="5F5424F2" w14:textId="7B7F5DCA" w:rsidR="00E740DD" w:rsidRPr="002029C4" w:rsidRDefault="00E740DD">
          <w:pPr>
            <w:pStyle w:val="TOC2"/>
            <w:rPr>
              <w:rFonts w:eastAsiaTheme="minorEastAsia"/>
              <w:b w:val="0"/>
              <w:bCs w:val="0"/>
              <w:smallCaps w:val="0"/>
              <w:noProof w:val="0"/>
              <w:kern w:val="2"/>
              <w:sz w:val="22"/>
              <w:szCs w:val="22"/>
              <w:lang w:eastAsia="en-US"/>
              <w14:ligatures w14:val="standardContextual"/>
            </w:rPr>
          </w:pPr>
          <w:hyperlink w:anchor="_Toc227235247" w:history="1">
            <w:r w:rsidRPr="002029C4">
              <w:rPr>
                <w:rStyle w:val="Hyperlink"/>
                <w:b w:val="0"/>
                <w:bCs w:val="0"/>
                <w:noProof w:val="0"/>
                <w:sz w:val="22"/>
                <w:szCs w:val="22"/>
              </w:rPr>
              <w:t>1.2 Concept</w:t>
            </w:r>
            <w:r w:rsidRPr="002029C4">
              <w:rPr>
                <w:b w:val="0"/>
                <w:bCs w:val="0"/>
                <w:noProof w:val="0"/>
                <w:webHidden/>
                <w:sz w:val="22"/>
                <w:szCs w:val="22"/>
              </w:rPr>
              <w:tab/>
            </w:r>
            <w:r w:rsidRPr="002029C4">
              <w:rPr>
                <w:b w:val="0"/>
                <w:bCs w:val="0"/>
                <w:noProof w:val="0"/>
                <w:webHidden/>
                <w:sz w:val="22"/>
                <w:szCs w:val="22"/>
              </w:rPr>
              <w:fldChar w:fldCharType="begin"/>
            </w:r>
            <w:r w:rsidRPr="002029C4">
              <w:rPr>
                <w:b w:val="0"/>
                <w:bCs w:val="0"/>
                <w:noProof w:val="0"/>
                <w:webHidden/>
                <w:sz w:val="22"/>
                <w:szCs w:val="22"/>
              </w:rPr>
              <w:instrText xml:space="preserve"> PAGEREF _Toc227235247 \h </w:instrText>
            </w:r>
            <w:r w:rsidRPr="002029C4">
              <w:rPr>
                <w:b w:val="0"/>
                <w:bCs w:val="0"/>
                <w:noProof w:val="0"/>
                <w:webHidden/>
                <w:sz w:val="22"/>
                <w:szCs w:val="22"/>
              </w:rPr>
            </w:r>
            <w:r w:rsidRPr="002029C4">
              <w:rPr>
                <w:b w:val="0"/>
                <w:bCs w:val="0"/>
                <w:noProof w:val="0"/>
                <w:webHidden/>
                <w:sz w:val="22"/>
                <w:szCs w:val="22"/>
              </w:rPr>
              <w:fldChar w:fldCharType="separate"/>
            </w:r>
            <w:r w:rsidRPr="002029C4">
              <w:rPr>
                <w:b w:val="0"/>
                <w:bCs w:val="0"/>
                <w:noProof w:val="0"/>
                <w:webHidden/>
                <w:sz w:val="22"/>
                <w:szCs w:val="22"/>
              </w:rPr>
              <w:t>6</w:t>
            </w:r>
            <w:r w:rsidRPr="002029C4">
              <w:rPr>
                <w:b w:val="0"/>
                <w:bCs w:val="0"/>
                <w:noProof w:val="0"/>
                <w:webHidden/>
                <w:sz w:val="22"/>
                <w:szCs w:val="22"/>
              </w:rPr>
              <w:fldChar w:fldCharType="end"/>
            </w:r>
          </w:hyperlink>
        </w:p>
        <w:p w14:paraId="3A1A3739" w14:textId="0942BFD2" w:rsidR="00E740DD" w:rsidRPr="002029C4" w:rsidRDefault="00E740DD">
          <w:pPr>
            <w:pStyle w:val="TOC2"/>
            <w:rPr>
              <w:rFonts w:eastAsiaTheme="minorEastAsia"/>
              <w:b w:val="0"/>
              <w:bCs w:val="0"/>
              <w:smallCaps w:val="0"/>
              <w:noProof w:val="0"/>
              <w:kern w:val="2"/>
              <w:sz w:val="22"/>
              <w:szCs w:val="22"/>
              <w:lang w:eastAsia="en-US"/>
              <w14:ligatures w14:val="standardContextual"/>
            </w:rPr>
          </w:pPr>
          <w:hyperlink w:anchor="_Toc227235248" w:history="1">
            <w:r w:rsidRPr="002029C4">
              <w:rPr>
                <w:rStyle w:val="Hyperlink"/>
                <w:b w:val="0"/>
                <w:bCs w:val="0"/>
                <w:noProof w:val="0"/>
                <w:sz w:val="22"/>
                <w:szCs w:val="22"/>
              </w:rPr>
              <w:t>1.3 Objectives</w:t>
            </w:r>
            <w:r w:rsidRPr="002029C4">
              <w:rPr>
                <w:b w:val="0"/>
                <w:bCs w:val="0"/>
                <w:noProof w:val="0"/>
                <w:webHidden/>
                <w:sz w:val="22"/>
                <w:szCs w:val="22"/>
              </w:rPr>
              <w:tab/>
            </w:r>
            <w:r w:rsidRPr="002029C4">
              <w:rPr>
                <w:b w:val="0"/>
                <w:bCs w:val="0"/>
                <w:noProof w:val="0"/>
                <w:webHidden/>
                <w:sz w:val="22"/>
                <w:szCs w:val="22"/>
              </w:rPr>
              <w:fldChar w:fldCharType="begin"/>
            </w:r>
            <w:r w:rsidRPr="002029C4">
              <w:rPr>
                <w:b w:val="0"/>
                <w:bCs w:val="0"/>
                <w:noProof w:val="0"/>
                <w:webHidden/>
                <w:sz w:val="22"/>
                <w:szCs w:val="22"/>
              </w:rPr>
              <w:instrText xml:space="preserve"> PAGEREF _Toc227235248 \h </w:instrText>
            </w:r>
            <w:r w:rsidRPr="002029C4">
              <w:rPr>
                <w:b w:val="0"/>
                <w:bCs w:val="0"/>
                <w:noProof w:val="0"/>
                <w:webHidden/>
                <w:sz w:val="22"/>
                <w:szCs w:val="22"/>
              </w:rPr>
            </w:r>
            <w:r w:rsidRPr="002029C4">
              <w:rPr>
                <w:b w:val="0"/>
                <w:bCs w:val="0"/>
                <w:noProof w:val="0"/>
                <w:webHidden/>
                <w:sz w:val="22"/>
                <w:szCs w:val="22"/>
              </w:rPr>
              <w:fldChar w:fldCharType="separate"/>
            </w:r>
            <w:r w:rsidRPr="002029C4">
              <w:rPr>
                <w:b w:val="0"/>
                <w:bCs w:val="0"/>
                <w:noProof w:val="0"/>
                <w:webHidden/>
                <w:sz w:val="22"/>
                <w:szCs w:val="22"/>
              </w:rPr>
              <w:t>7</w:t>
            </w:r>
            <w:r w:rsidRPr="002029C4">
              <w:rPr>
                <w:b w:val="0"/>
                <w:bCs w:val="0"/>
                <w:noProof w:val="0"/>
                <w:webHidden/>
                <w:sz w:val="22"/>
                <w:szCs w:val="22"/>
              </w:rPr>
              <w:fldChar w:fldCharType="end"/>
            </w:r>
          </w:hyperlink>
        </w:p>
        <w:p w14:paraId="1AC56159" w14:textId="55E40996" w:rsidR="00E740DD" w:rsidRPr="002029C4" w:rsidRDefault="00E740DD">
          <w:pPr>
            <w:pStyle w:val="TOC2"/>
            <w:rPr>
              <w:rFonts w:eastAsiaTheme="minorEastAsia"/>
              <w:b w:val="0"/>
              <w:bCs w:val="0"/>
              <w:smallCaps w:val="0"/>
              <w:noProof w:val="0"/>
              <w:kern w:val="2"/>
              <w:sz w:val="22"/>
              <w:szCs w:val="22"/>
              <w:lang w:eastAsia="en-US"/>
              <w14:ligatures w14:val="standardContextual"/>
            </w:rPr>
          </w:pPr>
          <w:hyperlink w:anchor="_Toc227235249" w:history="1">
            <w:r w:rsidRPr="002029C4">
              <w:rPr>
                <w:rStyle w:val="Hyperlink"/>
                <w:b w:val="0"/>
                <w:bCs w:val="0"/>
                <w:noProof w:val="0"/>
                <w:sz w:val="22"/>
                <w:szCs w:val="22"/>
              </w:rPr>
              <w:t>1.4 Principles</w:t>
            </w:r>
            <w:r w:rsidRPr="002029C4">
              <w:rPr>
                <w:b w:val="0"/>
                <w:bCs w:val="0"/>
                <w:noProof w:val="0"/>
                <w:webHidden/>
                <w:sz w:val="22"/>
                <w:szCs w:val="22"/>
              </w:rPr>
              <w:tab/>
            </w:r>
            <w:r w:rsidRPr="002029C4">
              <w:rPr>
                <w:b w:val="0"/>
                <w:bCs w:val="0"/>
                <w:noProof w:val="0"/>
                <w:webHidden/>
                <w:sz w:val="22"/>
                <w:szCs w:val="22"/>
              </w:rPr>
              <w:fldChar w:fldCharType="begin"/>
            </w:r>
            <w:r w:rsidRPr="002029C4">
              <w:rPr>
                <w:b w:val="0"/>
                <w:bCs w:val="0"/>
                <w:noProof w:val="0"/>
                <w:webHidden/>
                <w:sz w:val="22"/>
                <w:szCs w:val="22"/>
              </w:rPr>
              <w:instrText xml:space="preserve"> PAGEREF _Toc227235249 \h </w:instrText>
            </w:r>
            <w:r w:rsidRPr="002029C4">
              <w:rPr>
                <w:b w:val="0"/>
                <w:bCs w:val="0"/>
                <w:noProof w:val="0"/>
                <w:webHidden/>
                <w:sz w:val="22"/>
                <w:szCs w:val="22"/>
              </w:rPr>
            </w:r>
            <w:r w:rsidRPr="002029C4">
              <w:rPr>
                <w:b w:val="0"/>
                <w:bCs w:val="0"/>
                <w:noProof w:val="0"/>
                <w:webHidden/>
                <w:sz w:val="22"/>
                <w:szCs w:val="22"/>
              </w:rPr>
              <w:fldChar w:fldCharType="separate"/>
            </w:r>
            <w:r w:rsidRPr="002029C4">
              <w:rPr>
                <w:b w:val="0"/>
                <w:bCs w:val="0"/>
                <w:noProof w:val="0"/>
                <w:webHidden/>
                <w:sz w:val="22"/>
                <w:szCs w:val="22"/>
              </w:rPr>
              <w:t>7</w:t>
            </w:r>
            <w:r w:rsidRPr="002029C4">
              <w:rPr>
                <w:b w:val="0"/>
                <w:bCs w:val="0"/>
                <w:noProof w:val="0"/>
                <w:webHidden/>
                <w:sz w:val="22"/>
                <w:szCs w:val="22"/>
              </w:rPr>
              <w:fldChar w:fldCharType="end"/>
            </w:r>
          </w:hyperlink>
        </w:p>
        <w:p w14:paraId="21344C6E" w14:textId="4B00789F" w:rsidR="00E740DD" w:rsidRPr="002029C4" w:rsidRDefault="00E740DD">
          <w:pPr>
            <w:pStyle w:val="TOC2"/>
            <w:rPr>
              <w:rFonts w:eastAsiaTheme="minorEastAsia"/>
              <w:b w:val="0"/>
              <w:bCs w:val="0"/>
              <w:smallCaps w:val="0"/>
              <w:noProof w:val="0"/>
              <w:kern w:val="2"/>
              <w:sz w:val="22"/>
              <w:szCs w:val="22"/>
              <w:lang w:eastAsia="en-US"/>
              <w14:ligatures w14:val="standardContextual"/>
            </w:rPr>
          </w:pPr>
          <w:hyperlink w:anchor="_Toc227235250" w:history="1">
            <w:r w:rsidRPr="002029C4">
              <w:rPr>
                <w:rStyle w:val="Hyperlink"/>
                <w:b w:val="0"/>
                <w:bCs w:val="0"/>
                <w:noProof w:val="0"/>
                <w:sz w:val="22"/>
                <w:szCs w:val="22"/>
              </w:rPr>
              <w:t>1.5 Structure and content</w:t>
            </w:r>
            <w:r w:rsidRPr="002029C4">
              <w:rPr>
                <w:b w:val="0"/>
                <w:bCs w:val="0"/>
                <w:noProof w:val="0"/>
                <w:webHidden/>
                <w:sz w:val="22"/>
                <w:szCs w:val="22"/>
              </w:rPr>
              <w:tab/>
            </w:r>
            <w:r w:rsidRPr="002029C4">
              <w:rPr>
                <w:b w:val="0"/>
                <w:bCs w:val="0"/>
                <w:noProof w:val="0"/>
                <w:webHidden/>
                <w:sz w:val="22"/>
                <w:szCs w:val="22"/>
              </w:rPr>
              <w:fldChar w:fldCharType="begin"/>
            </w:r>
            <w:r w:rsidRPr="002029C4">
              <w:rPr>
                <w:b w:val="0"/>
                <w:bCs w:val="0"/>
                <w:noProof w:val="0"/>
                <w:webHidden/>
                <w:sz w:val="22"/>
                <w:szCs w:val="22"/>
              </w:rPr>
              <w:instrText xml:space="preserve"> PAGEREF _Toc227235250 \h </w:instrText>
            </w:r>
            <w:r w:rsidRPr="002029C4">
              <w:rPr>
                <w:b w:val="0"/>
                <w:bCs w:val="0"/>
                <w:noProof w:val="0"/>
                <w:webHidden/>
                <w:sz w:val="22"/>
                <w:szCs w:val="22"/>
              </w:rPr>
            </w:r>
            <w:r w:rsidRPr="002029C4">
              <w:rPr>
                <w:b w:val="0"/>
                <w:bCs w:val="0"/>
                <w:noProof w:val="0"/>
                <w:webHidden/>
                <w:sz w:val="22"/>
                <w:szCs w:val="22"/>
              </w:rPr>
              <w:fldChar w:fldCharType="separate"/>
            </w:r>
            <w:r w:rsidRPr="002029C4">
              <w:rPr>
                <w:b w:val="0"/>
                <w:bCs w:val="0"/>
                <w:noProof w:val="0"/>
                <w:webHidden/>
                <w:sz w:val="22"/>
                <w:szCs w:val="22"/>
              </w:rPr>
              <w:t>8</w:t>
            </w:r>
            <w:r w:rsidRPr="002029C4">
              <w:rPr>
                <w:b w:val="0"/>
                <w:bCs w:val="0"/>
                <w:noProof w:val="0"/>
                <w:webHidden/>
                <w:sz w:val="22"/>
                <w:szCs w:val="22"/>
              </w:rPr>
              <w:fldChar w:fldCharType="end"/>
            </w:r>
          </w:hyperlink>
        </w:p>
        <w:p w14:paraId="6E64DB2B" w14:textId="05D13AD5" w:rsidR="00E740DD" w:rsidRPr="002029C4" w:rsidRDefault="00E740DD">
          <w:pPr>
            <w:pStyle w:val="TOC1"/>
            <w:tabs>
              <w:tab w:val="right" w:leader="dot" w:pos="9016"/>
            </w:tabs>
            <w:rPr>
              <w:rFonts w:ascii="Arial" w:eastAsiaTheme="minorEastAsia" w:hAnsi="Arial" w:cs="Arial"/>
              <w:b w:val="0"/>
              <w:bCs w:val="0"/>
              <w:caps w:val="0"/>
              <w:kern w:val="2"/>
              <w:sz w:val="22"/>
              <w:szCs w:val="22"/>
              <w:lang w:eastAsia="en-US"/>
              <w14:ligatures w14:val="standardContextual"/>
            </w:rPr>
          </w:pPr>
          <w:hyperlink w:anchor="_Toc227235251" w:history="1">
            <w:r w:rsidRPr="002029C4">
              <w:rPr>
                <w:rStyle w:val="Hyperlink"/>
                <w:rFonts w:ascii="Arial" w:eastAsia="Arial" w:hAnsi="Arial" w:cs="Arial"/>
                <w:sz w:val="22"/>
                <w:szCs w:val="22"/>
              </w:rPr>
              <w:t>Chapter 2 | Methodology</w:t>
            </w:r>
            <w:r w:rsidRPr="002029C4">
              <w:rPr>
                <w:rFonts w:ascii="Arial" w:hAnsi="Arial" w:cs="Arial"/>
                <w:webHidden/>
                <w:sz w:val="22"/>
                <w:szCs w:val="22"/>
              </w:rPr>
              <w:tab/>
            </w:r>
            <w:r w:rsidRPr="002029C4">
              <w:rPr>
                <w:rFonts w:ascii="Arial" w:hAnsi="Arial" w:cs="Arial"/>
                <w:webHidden/>
                <w:sz w:val="22"/>
                <w:szCs w:val="22"/>
              </w:rPr>
              <w:fldChar w:fldCharType="begin"/>
            </w:r>
            <w:r w:rsidRPr="002029C4">
              <w:rPr>
                <w:rFonts w:ascii="Arial" w:hAnsi="Arial" w:cs="Arial"/>
                <w:webHidden/>
                <w:sz w:val="22"/>
                <w:szCs w:val="22"/>
              </w:rPr>
              <w:instrText xml:space="preserve"> PAGEREF _Toc227235251 \h </w:instrText>
            </w:r>
            <w:r w:rsidRPr="002029C4">
              <w:rPr>
                <w:rFonts w:ascii="Arial" w:hAnsi="Arial" w:cs="Arial"/>
                <w:webHidden/>
                <w:sz w:val="22"/>
                <w:szCs w:val="22"/>
              </w:rPr>
            </w:r>
            <w:r w:rsidRPr="002029C4">
              <w:rPr>
                <w:rFonts w:ascii="Arial" w:hAnsi="Arial" w:cs="Arial"/>
                <w:webHidden/>
                <w:sz w:val="22"/>
                <w:szCs w:val="22"/>
              </w:rPr>
              <w:fldChar w:fldCharType="separate"/>
            </w:r>
            <w:r w:rsidRPr="002029C4">
              <w:rPr>
                <w:rFonts w:ascii="Arial" w:hAnsi="Arial" w:cs="Arial"/>
                <w:webHidden/>
                <w:sz w:val="22"/>
                <w:szCs w:val="22"/>
              </w:rPr>
              <w:t>12</w:t>
            </w:r>
            <w:r w:rsidRPr="002029C4">
              <w:rPr>
                <w:rFonts w:ascii="Arial" w:hAnsi="Arial" w:cs="Arial"/>
                <w:webHidden/>
                <w:sz w:val="22"/>
                <w:szCs w:val="22"/>
              </w:rPr>
              <w:fldChar w:fldCharType="end"/>
            </w:r>
          </w:hyperlink>
        </w:p>
        <w:p w14:paraId="2E38FE34" w14:textId="107918F1" w:rsidR="00E740DD" w:rsidRPr="002029C4" w:rsidRDefault="00E740DD">
          <w:pPr>
            <w:pStyle w:val="TOC2"/>
            <w:rPr>
              <w:rFonts w:eastAsiaTheme="minorEastAsia"/>
              <w:b w:val="0"/>
              <w:bCs w:val="0"/>
              <w:smallCaps w:val="0"/>
              <w:noProof w:val="0"/>
              <w:kern w:val="2"/>
              <w:sz w:val="22"/>
              <w:szCs w:val="22"/>
              <w:lang w:eastAsia="en-US"/>
              <w14:ligatures w14:val="standardContextual"/>
            </w:rPr>
          </w:pPr>
          <w:hyperlink w:anchor="_Toc227235252" w:history="1">
            <w:r w:rsidRPr="002029C4">
              <w:rPr>
                <w:rStyle w:val="Hyperlink"/>
                <w:b w:val="0"/>
                <w:bCs w:val="0"/>
                <w:noProof w:val="0"/>
                <w:sz w:val="22"/>
                <w:szCs w:val="22"/>
              </w:rPr>
              <w:t>2.1 Evaluation process</w:t>
            </w:r>
            <w:r w:rsidRPr="002029C4">
              <w:rPr>
                <w:b w:val="0"/>
                <w:bCs w:val="0"/>
                <w:noProof w:val="0"/>
                <w:webHidden/>
                <w:sz w:val="22"/>
                <w:szCs w:val="22"/>
              </w:rPr>
              <w:tab/>
            </w:r>
            <w:r w:rsidRPr="002029C4">
              <w:rPr>
                <w:b w:val="0"/>
                <w:bCs w:val="0"/>
                <w:noProof w:val="0"/>
                <w:webHidden/>
                <w:sz w:val="22"/>
                <w:szCs w:val="22"/>
              </w:rPr>
              <w:fldChar w:fldCharType="begin"/>
            </w:r>
            <w:r w:rsidRPr="002029C4">
              <w:rPr>
                <w:b w:val="0"/>
                <w:bCs w:val="0"/>
                <w:noProof w:val="0"/>
                <w:webHidden/>
                <w:sz w:val="22"/>
                <w:szCs w:val="22"/>
              </w:rPr>
              <w:instrText xml:space="preserve"> PAGEREF _Toc227235252 \h </w:instrText>
            </w:r>
            <w:r w:rsidRPr="002029C4">
              <w:rPr>
                <w:b w:val="0"/>
                <w:bCs w:val="0"/>
                <w:noProof w:val="0"/>
                <w:webHidden/>
                <w:sz w:val="22"/>
                <w:szCs w:val="22"/>
              </w:rPr>
            </w:r>
            <w:r w:rsidRPr="002029C4">
              <w:rPr>
                <w:b w:val="0"/>
                <w:bCs w:val="0"/>
                <w:noProof w:val="0"/>
                <w:webHidden/>
                <w:sz w:val="22"/>
                <w:szCs w:val="22"/>
              </w:rPr>
              <w:fldChar w:fldCharType="separate"/>
            </w:r>
            <w:r w:rsidRPr="002029C4">
              <w:rPr>
                <w:b w:val="0"/>
                <w:bCs w:val="0"/>
                <w:noProof w:val="0"/>
                <w:webHidden/>
                <w:sz w:val="22"/>
                <w:szCs w:val="22"/>
              </w:rPr>
              <w:t>12</w:t>
            </w:r>
            <w:r w:rsidRPr="002029C4">
              <w:rPr>
                <w:b w:val="0"/>
                <w:bCs w:val="0"/>
                <w:noProof w:val="0"/>
                <w:webHidden/>
                <w:sz w:val="22"/>
                <w:szCs w:val="22"/>
              </w:rPr>
              <w:fldChar w:fldCharType="end"/>
            </w:r>
          </w:hyperlink>
        </w:p>
        <w:p w14:paraId="5B7CD4D9" w14:textId="15086EE2" w:rsidR="00E740DD" w:rsidRPr="002029C4" w:rsidRDefault="00E740DD">
          <w:pPr>
            <w:pStyle w:val="TOC2"/>
            <w:rPr>
              <w:rFonts w:eastAsiaTheme="minorEastAsia"/>
              <w:b w:val="0"/>
              <w:bCs w:val="0"/>
              <w:smallCaps w:val="0"/>
              <w:noProof w:val="0"/>
              <w:kern w:val="2"/>
              <w:sz w:val="22"/>
              <w:szCs w:val="22"/>
              <w:lang w:eastAsia="en-US"/>
              <w14:ligatures w14:val="standardContextual"/>
            </w:rPr>
          </w:pPr>
          <w:hyperlink w:anchor="_Toc227235253" w:history="1">
            <w:r w:rsidRPr="002029C4">
              <w:rPr>
                <w:rStyle w:val="Hyperlink"/>
                <w:b w:val="0"/>
                <w:bCs w:val="0"/>
                <w:noProof w:val="0"/>
                <w:sz w:val="22"/>
                <w:szCs w:val="22"/>
              </w:rPr>
              <w:t>2.2 Data collection</w:t>
            </w:r>
            <w:r w:rsidRPr="002029C4">
              <w:rPr>
                <w:b w:val="0"/>
                <w:bCs w:val="0"/>
                <w:noProof w:val="0"/>
                <w:webHidden/>
                <w:sz w:val="22"/>
                <w:szCs w:val="22"/>
              </w:rPr>
              <w:tab/>
            </w:r>
            <w:r w:rsidRPr="002029C4">
              <w:rPr>
                <w:b w:val="0"/>
                <w:bCs w:val="0"/>
                <w:noProof w:val="0"/>
                <w:webHidden/>
                <w:sz w:val="22"/>
                <w:szCs w:val="22"/>
              </w:rPr>
              <w:fldChar w:fldCharType="begin"/>
            </w:r>
            <w:r w:rsidRPr="002029C4">
              <w:rPr>
                <w:b w:val="0"/>
                <w:bCs w:val="0"/>
                <w:noProof w:val="0"/>
                <w:webHidden/>
                <w:sz w:val="22"/>
                <w:szCs w:val="22"/>
              </w:rPr>
              <w:instrText xml:space="preserve"> PAGEREF _Toc227235253 \h </w:instrText>
            </w:r>
            <w:r w:rsidRPr="002029C4">
              <w:rPr>
                <w:b w:val="0"/>
                <w:bCs w:val="0"/>
                <w:noProof w:val="0"/>
                <w:webHidden/>
                <w:sz w:val="22"/>
                <w:szCs w:val="22"/>
              </w:rPr>
            </w:r>
            <w:r w:rsidRPr="002029C4">
              <w:rPr>
                <w:b w:val="0"/>
                <w:bCs w:val="0"/>
                <w:noProof w:val="0"/>
                <w:webHidden/>
                <w:sz w:val="22"/>
                <w:szCs w:val="22"/>
              </w:rPr>
              <w:fldChar w:fldCharType="separate"/>
            </w:r>
            <w:r w:rsidRPr="002029C4">
              <w:rPr>
                <w:b w:val="0"/>
                <w:bCs w:val="0"/>
                <w:noProof w:val="0"/>
                <w:webHidden/>
                <w:sz w:val="22"/>
                <w:szCs w:val="22"/>
              </w:rPr>
              <w:t>13</w:t>
            </w:r>
            <w:r w:rsidRPr="002029C4">
              <w:rPr>
                <w:b w:val="0"/>
                <w:bCs w:val="0"/>
                <w:noProof w:val="0"/>
                <w:webHidden/>
                <w:sz w:val="22"/>
                <w:szCs w:val="22"/>
              </w:rPr>
              <w:fldChar w:fldCharType="end"/>
            </w:r>
          </w:hyperlink>
        </w:p>
        <w:p w14:paraId="5EFE7F5E" w14:textId="1575A36F" w:rsidR="00E740DD" w:rsidRPr="002029C4" w:rsidRDefault="00E740DD">
          <w:pPr>
            <w:pStyle w:val="TOC2"/>
            <w:rPr>
              <w:rFonts w:eastAsiaTheme="minorEastAsia"/>
              <w:b w:val="0"/>
              <w:bCs w:val="0"/>
              <w:smallCaps w:val="0"/>
              <w:noProof w:val="0"/>
              <w:kern w:val="2"/>
              <w:sz w:val="22"/>
              <w:szCs w:val="22"/>
              <w:lang w:eastAsia="en-US"/>
              <w14:ligatures w14:val="standardContextual"/>
            </w:rPr>
          </w:pPr>
          <w:hyperlink w:anchor="_Toc227235254" w:history="1">
            <w:r w:rsidRPr="002029C4">
              <w:rPr>
                <w:rStyle w:val="Hyperlink"/>
                <w:b w:val="0"/>
                <w:bCs w:val="0"/>
                <w:noProof w:val="0"/>
                <w:sz w:val="22"/>
                <w:szCs w:val="22"/>
              </w:rPr>
              <w:t>2.3 Procuring entities sample</w:t>
            </w:r>
            <w:r w:rsidRPr="002029C4">
              <w:rPr>
                <w:b w:val="0"/>
                <w:bCs w:val="0"/>
                <w:noProof w:val="0"/>
                <w:webHidden/>
                <w:sz w:val="22"/>
                <w:szCs w:val="22"/>
              </w:rPr>
              <w:tab/>
            </w:r>
            <w:r w:rsidRPr="002029C4">
              <w:rPr>
                <w:b w:val="0"/>
                <w:bCs w:val="0"/>
                <w:noProof w:val="0"/>
                <w:webHidden/>
                <w:sz w:val="22"/>
                <w:szCs w:val="22"/>
              </w:rPr>
              <w:fldChar w:fldCharType="begin"/>
            </w:r>
            <w:r w:rsidRPr="002029C4">
              <w:rPr>
                <w:b w:val="0"/>
                <w:bCs w:val="0"/>
                <w:noProof w:val="0"/>
                <w:webHidden/>
                <w:sz w:val="22"/>
                <w:szCs w:val="22"/>
              </w:rPr>
              <w:instrText xml:space="preserve"> PAGEREF _Toc227235254 \h </w:instrText>
            </w:r>
            <w:r w:rsidRPr="002029C4">
              <w:rPr>
                <w:b w:val="0"/>
                <w:bCs w:val="0"/>
                <w:noProof w:val="0"/>
                <w:webHidden/>
                <w:sz w:val="22"/>
                <w:szCs w:val="22"/>
              </w:rPr>
            </w:r>
            <w:r w:rsidRPr="002029C4">
              <w:rPr>
                <w:b w:val="0"/>
                <w:bCs w:val="0"/>
                <w:noProof w:val="0"/>
                <w:webHidden/>
                <w:sz w:val="22"/>
                <w:szCs w:val="22"/>
              </w:rPr>
              <w:fldChar w:fldCharType="separate"/>
            </w:r>
            <w:r w:rsidRPr="002029C4">
              <w:rPr>
                <w:b w:val="0"/>
                <w:bCs w:val="0"/>
                <w:noProof w:val="0"/>
                <w:webHidden/>
                <w:sz w:val="22"/>
                <w:szCs w:val="22"/>
              </w:rPr>
              <w:t>17</w:t>
            </w:r>
            <w:r w:rsidRPr="002029C4">
              <w:rPr>
                <w:b w:val="0"/>
                <w:bCs w:val="0"/>
                <w:noProof w:val="0"/>
                <w:webHidden/>
                <w:sz w:val="22"/>
                <w:szCs w:val="22"/>
              </w:rPr>
              <w:fldChar w:fldCharType="end"/>
            </w:r>
          </w:hyperlink>
        </w:p>
        <w:p w14:paraId="6469209F" w14:textId="66D4A281" w:rsidR="00E740DD" w:rsidRPr="002029C4" w:rsidRDefault="00E740DD">
          <w:pPr>
            <w:pStyle w:val="TOC2"/>
            <w:rPr>
              <w:rFonts w:eastAsiaTheme="minorEastAsia"/>
              <w:b w:val="0"/>
              <w:bCs w:val="0"/>
              <w:smallCaps w:val="0"/>
              <w:noProof w:val="0"/>
              <w:kern w:val="2"/>
              <w:sz w:val="22"/>
              <w:szCs w:val="22"/>
              <w:lang w:eastAsia="en-US"/>
              <w14:ligatures w14:val="standardContextual"/>
            </w:rPr>
          </w:pPr>
          <w:hyperlink w:anchor="_Toc227235255" w:history="1">
            <w:r w:rsidRPr="002029C4">
              <w:rPr>
                <w:rStyle w:val="Hyperlink"/>
                <w:b w:val="0"/>
                <w:bCs w:val="0"/>
                <w:noProof w:val="0"/>
                <w:sz w:val="22"/>
                <w:szCs w:val="22"/>
              </w:rPr>
              <w:t>2.4 Infrastructure project sample</w:t>
            </w:r>
            <w:r w:rsidRPr="002029C4">
              <w:rPr>
                <w:b w:val="0"/>
                <w:bCs w:val="0"/>
                <w:noProof w:val="0"/>
                <w:webHidden/>
                <w:sz w:val="22"/>
                <w:szCs w:val="22"/>
              </w:rPr>
              <w:tab/>
            </w:r>
            <w:r w:rsidRPr="002029C4">
              <w:rPr>
                <w:b w:val="0"/>
                <w:bCs w:val="0"/>
                <w:noProof w:val="0"/>
                <w:webHidden/>
                <w:sz w:val="22"/>
                <w:szCs w:val="22"/>
              </w:rPr>
              <w:fldChar w:fldCharType="begin"/>
            </w:r>
            <w:r w:rsidRPr="002029C4">
              <w:rPr>
                <w:b w:val="0"/>
                <w:bCs w:val="0"/>
                <w:noProof w:val="0"/>
                <w:webHidden/>
                <w:sz w:val="22"/>
                <w:szCs w:val="22"/>
              </w:rPr>
              <w:instrText xml:space="preserve"> PAGEREF _Toc227235255 \h </w:instrText>
            </w:r>
            <w:r w:rsidRPr="002029C4">
              <w:rPr>
                <w:b w:val="0"/>
                <w:bCs w:val="0"/>
                <w:noProof w:val="0"/>
                <w:webHidden/>
                <w:sz w:val="22"/>
                <w:szCs w:val="22"/>
              </w:rPr>
            </w:r>
            <w:r w:rsidRPr="002029C4">
              <w:rPr>
                <w:b w:val="0"/>
                <w:bCs w:val="0"/>
                <w:noProof w:val="0"/>
                <w:webHidden/>
                <w:sz w:val="22"/>
                <w:szCs w:val="22"/>
              </w:rPr>
              <w:fldChar w:fldCharType="separate"/>
            </w:r>
            <w:r w:rsidRPr="002029C4">
              <w:rPr>
                <w:b w:val="0"/>
                <w:bCs w:val="0"/>
                <w:noProof w:val="0"/>
                <w:webHidden/>
                <w:sz w:val="22"/>
                <w:szCs w:val="22"/>
              </w:rPr>
              <w:t>18</w:t>
            </w:r>
            <w:r w:rsidRPr="002029C4">
              <w:rPr>
                <w:b w:val="0"/>
                <w:bCs w:val="0"/>
                <w:noProof w:val="0"/>
                <w:webHidden/>
                <w:sz w:val="22"/>
                <w:szCs w:val="22"/>
              </w:rPr>
              <w:fldChar w:fldCharType="end"/>
            </w:r>
          </w:hyperlink>
        </w:p>
        <w:p w14:paraId="30156E0C" w14:textId="491E1789" w:rsidR="00E740DD" w:rsidRPr="002029C4" w:rsidRDefault="00E740DD">
          <w:pPr>
            <w:pStyle w:val="TOC2"/>
            <w:rPr>
              <w:rFonts w:eastAsiaTheme="minorEastAsia"/>
              <w:b w:val="0"/>
              <w:bCs w:val="0"/>
              <w:smallCaps w:val="0"/>
              <w:noProof w:val="0"/>
              <w:kern w:val="2"/>
              <w:sz w:val="22"/>
              <w:szCs w:val="22"/>
              <w:lang w:eastAsia="en-US"/>
              <w14:ligatures w14:val="standardContextual"/>
            </w:rPr>
          </w:pPr>
          <w:hyperlink w:anchor="_Toc227235256" w:history="1">
            <w:r w:rsidRPr="002029C4">
              <w:rPr>
                <w:rStyle w:val="Hyperlink"/>
                <w:b w:val="0"/>
                <w:bCs w:val="0"/>
                <w:noProof w:val="0"/>
                <w:sz w:val="22"/>
                <w:szCs w:val="22"/>
              </w:rPr>
              <w:t>2.5 Interaction protocol</w:t>
            </w:r>
            <w:r w:rsidRPr="002029C4">
              <w:rPr>
                <w:b w:val="0"/>
                <w:bCs w:val="0"/>
                <w:noProof w:val="0"/>
                <w:webHidden/>
                <w:sz w:val="22"/>
                <w:szCs w:val="22"/>
              </w:rPr>
              <w:tab/>
            </w:r>
            <w:r w:rsidRPr="002029C4">
              <w:rPr>
                <w:b w:val="0"/>
                <w:bCs w:val="0"/>
                <w:noProof w:val="0"/>
                <w:webHidden/>
                <w:sz w:val="22"/>
                <w:szCs w:val="22"/>
              </w:rPr>
              <w:fldChar w:fldCharType="begin"/>
            </w:r>
            <w:r w:rsidRPr="002029C4">
              <w:rPr>
                <w:b w:val="0"/>
                <w:bCs w:val="0"/>
                <w:noProof w:val="0"/>
                <w:webHidden/>
                <w:sz w:val="22"/>
                <w:szCs w:val="22"/>
              </w:rPr>
              <w:instrText xml:space="preserve"> PAGEREF _Toc227235256 \h </w:instrText>
            </w:r>
            <w:r w:rsidRPr="002029C4">
              <w:rPr>
                <w:b w:val="0"/>
                <w:bCs w:val="0"/>
                <w:noProof w:val="0"/>
                <w:webHidden/>
                <w:sz w:val="22"/>
                <w:szCs w:val="22"/>
              </w:rPr>
            </w:r>
            <w:r w:rsidRPr="002029C4">
              <w:rPr>
                <w:b w:val="0"/>
                <w:bCs w:val="0"/>
                <w:noProof w:val="0"/>
                <w:webHidden/>
                <w:sz w:val="22"/>
                <w:szCs w:val="22"/>
              </w:rPr>
              <w:fldChar w:fldCharType="separate"/>
            </w:r>
            <w:r w:rsidRPr="002029C4">
              <w:rPr>
                <w:b w:val="0"/>
                <w:bCs w:val="0"/>
                <w:noProof w:val="0"/>
                <w:webHidden/>
                <w:sz w:val="22"/>
                <w:szCs w:val="22"/>
              </w:rPr>
              <w:t>21</w:t>
            </w:r>
            <w:r w:rsidRPr="002029C4">
              <w:rPr>
                <w:b w:val="0"/>
                <w:bCs w:val="0"/>
                <w:noProof w:val="0"/>
                <w:webHidden/>
                <w:sz w:val="22"/>
                <w:szCs w:val="22"/>
              </w:rPr>
              <w:fldChar w:fldCharType="end"/>
            </w:r>
          </w:hyperlink>
        </w:p>
        <w:p w14:paraId="412B869F" w14:textId="6EE9E0DD" w:rsidR="00E740DD" w:rsidRPr="002029C4" w:rsidRDefault="00E740DD">
          <w:pPr>
            <w:pStyle w:val="TOC2"/>
            <w:rPr>
              <w:rFonts w:eastAsiaTheme="minorEastAsia"/>
              <w:b w:val="0"/>
              <w:bCs w:val="0"/>
              <w:smallCaps w:val="0"/>
              <w:noProof w:val="0"/>
              <w:kern w:val="2"/>
              <w:sz w:val="22"/>
              <w:szCs w:val="22"/>
              <w:lang w:eastAsia="en-US"/>
              <w14:ligatures w14:val="standardContextual"/>
            </w:rPr>
          </w:pPr>
          <w:hyperlink w:anchor="_Toc227235257" w:history="1">
            <w:r w:rsidRPr="002029C4">
              <w:rPr>
                <w:rStyle w:val="Hyperlink"/>
                <w:b w:val="0"/>
                <w:bCs w:val="0"/>
                <w:noProof w:val="0"/>
                <w:sz w:val="22"/>
                <w:szCs w:val="22"/>
              </w:rPr>
              <w:t>2.6 Challenges and limitations</w:t>
            </w:r>
            <w:r w:rsidRPr="002029C4">
              <w:rPr>
                <w:b w:val="0"/>
                <w:bCs w:val="0"/>
                <w:noProof w:val="0"/>
                <w:webHidden/>
                <w:sz w:val="22"/>
                <w:szCs w:val="22"/>
              </w:rPr>
              <w:tab/>
            </w:r>
            <w:r w:rsidRPr="002029C4">
              <w:rPr>
                <w:b w:val="0"/>
                <w:bCs w:val="0"/>
                <w:noProof w:val="0"/>
                <w:webHidden/>
                <w:sz w:val="22"/>
                <w:szCs w:val="22"/>
              </w:rPr>
              <w:fldChar w:fldCharType="begin"/>
            </w:r>
            <w:r w:rsidRPr="002029C4">
              <w:rPr>
                <w:b w:val="0"/>
                <w:bCs w:val="0"/>
                <w:noProof w:val="0"/>
                <w:webHidden/>
                <w:sz w:val="22"/>
                <w:szCs w:val="22"/>
              </w:rPr>
              <w:instrText xml:space="preserve"> PAGEREF _Toc227235257 \h </w:instrText>
            </w:r>
            <w:r w:rsidRPr="002029C4">
              <w:rPr>
                <w:b w:val="0"/>
                <w:bCs w:val="0"/>
                <w:noProof w:val="0"/>
                <w:webHidden/>
                <w:sz w:val="22"/>
                <w:szCs w:val="22"/>
              </w:rPr>
            </w:r>
            <w:r w:rsidRPr="002029C4">
              <w:rPr>
                <w:b w:val="0"/>
                <w:bCs w:val="0"/>
                <w:noProof w:val="0"/>
                <w:webHidden/>
                <w:sz w:val="22"/>
                <w:szCs w:val="22"/>
              </w:rPr>
              <w:fldChar w:fldCharType="separate"/>
            </w:r>
            <w:r w:rsidRPr="002029C4">
              <w:rPr>
                <w:b w:val="0"/>
                <w:bCs w:val="0"/>
                <w:noProof w:val="0"/>
                <w:webHidden/>
                <w:sz w:val="22"/>
                <w:szCs w:val="22"/>
              </w:rPr>
              <w:t>22</w:t>
            </w:r>
            <w:r w:rsidRPr="002029C4">
              <w:rPr>
                <w:b w:val="0"/>
                <w:bCs w:val="0"/>
                <w:noProof w:val="0"/>
                <w:webHidden/>
                <w:sz w:val="22"/>
                <w:szCs w:val="22"/>
              </w:rPr>
              <w:fldChar w:fldCharType="end"/>
            </w:r>
          </w:hyperlink>
        </w:p>
        <w:p w14:paraId="3DD84772" w14:textId="2EBAD06A" w:rsidR="00E740DD" w:rsidRPr="002029C4" w:rsidRDefault="00E740DD">
          <w:pPr>
            <w:pStyle w:val="TOC1"/>
            <w:tabs>
              <w:tab w:val="right" w:leader="dot" w:pos="9016"/>
            </w:tabs>
            <w:rPr>
              <w:rFonts w:ascii="Arial" w:eastAsiaTheme="minorEastAsia" w:hAnsi="Arial" w:cs="Arial"/>
              <w:b w:val="0"/>
              <w:bCs w:val="0"/>
              <w:caps w:val="0"/>
              <w:kern w:val="2"/>
              <w:sz w:val="22"/>
              <w:szCs w:val="22"/>
              <w:lang w:eastAsia="en-US"/>
              <w14:ligatures w14:val="standardContextual"/>
            </w:rPr>
          </w:pPr>
          <w:hyperlink w:anchor="_Toc227235258" w:history="1">
            <w:r w:rsidRPr="002029C4">
              <w:rPr>
                <w:rStyle w:val="Hyperlink"/>
                <w:rFonts w:ascii="Arial" w:eastAsia="Arial" w:hAnsi="Arial" w:cs="Arial"/>
                <w:sz w:val="22"/>
                <w:szCs w:val="22"/>
              </w:rPr>
              <w:t>Chapter 3 | Results</w:t>
            </w:r>
            <w:r w:rsidRPr="002029C4">
              <w:rPr>
                <w:rFonts w:ascii="Arial" w:hAnsi="Arial" w:cs="Arial"/>
                <w:webHidden/>
                <w:sz w:val="22"/>
                <w:szCs w:val="22"/>
              </w:rPr>
              <w:tab/>
            </w:r>
            <w:r w:rsidRPr="002029C4">
              <w:rPr>
                <w:rFonts w:ascii="Arial" w:hAnsi="Arial" w:cs="Arial"/>
                <w:webHidden/>
                <w:sz w:val="22"/>
                <w:szCs w:val="22"/>
              </w:rPr>
              <w:fldChar w:fldCharType="begin"/>
            </w:r>
            <w:r w:rsidRPr="002029C4">
              <w:rPr>
                <w:rFonts w:ascii="Arial" w:hAnsi="Arial" w:cs="Arial"/>
                <w:webHidden/>
                <w:sz w:val="22"/>
                <w:szCs w:val="22"/>
              </w:rPr>
              <w:instrText xml:space="preserve"> PAGEREF _Toc227235258 \h </w:instrText>
            </w:r>
            <w:r w:rsidRPr="002029C4">
              <w:rPr>
                <w:rFonts w:ascii="Arial" w:hAnsi="Arial" w:cs="Arial"/>
                <w:webHidden/>
                <w:sz w:val="22"/>
                <w:szCs w:val="22"/>
              </w:rPr>
            </w:r>
            <w:r w:rsidRPr="002029C4">
              <w:rPr>
                <w:rFonts w:ascii="Arial" w:hAnsi="Arial" w:cs="Arial"/>
                <w:webHidden/>
                <w:sz w:val="22"/>
                <w:szCs w:val="22"/>
              </w:rPr>
              <w:fldChar w:fldCharType="separate"/>
            </w:r>
            <w:r w:rsidRPr="002029C4">
              <w:rPr>
                <w:rFonts w:ascii="Arial" w:hAnsi="Arial" w:cs="Arial"/>
                <w:webHidden/>
                <w:sz w:val="22"/>
                <w:szCs w:val="22"/>
              </w:rPr>
              <w:t>24</w:t>
            </w:r>
            <w:r w:rsidRPr="002029C4">
              <w:rPr>
                <w:rFonts w:ascii="Arial" w:hAnsi="Arial" w:cs="Arial"/>
                <w:webHidden/>
                <w:sz w:val="22"/>
                <w:szCs w:val="22"/>
              </w:rPr>
              <w:fldChar w:fldCharType="end"/>
            </w:r>
          </w:hyperlink>
        </w:p>
        <w:p w14:paraId="2D39B768" w14:textId="5A95DB5E" w:rsidR="00E740DD" w:rsidRPr="002029C4" w:rsidRDefault="00E740DD">
          <w:pPr>
            <w:pStyle w:val="TOC2"/>
            <w:rPr>
              <w:rFonts w:eastAsiaTheme="minorEastAsia"/>
              <w:b w:val="0"/>
              <w:bCs w:val="0"/>
              <w:smallCaps w:val="0"/>
              <w:noProof w:val="0"/>
              <w:kern w:val="2"/>
              <w:sz w:val="22"/>
              <w:szCs w:val="22"/>
              <w:lang w:eastAsia="en-US"/>
              <w14:ligatures w14:val="standardContextual"/>
            </w:rPr>
          </w:pPr>
          <w:hyperlink w:anchor="_Toc227235259" w:history="1">
            <w:r w:rsidRPr="002029C4">
              <w:rPr>
                <w:rStyle w:val="Hyperlink"/>
                <w:b w:val="0"/>
                <w:bCs w:val="0"/>
                <w:noProof w:val="0"/>
                <w:sz w:val="22"/>
                <w:szCs w:val="22"/>
              </w:rPr>
              <w:t>3.1 NTB ITI score</w:t>
            </w:r>
            <w:r w:rsidRPr="002029C4">
              <w:rPr>
                <w:b w:val="0"/>
                <w:bCs w:val="0"/>
                <w:noProof w:val="0"/>
                <w:webHidden/>
                <w:sz w:val="22"/>
                <w:szCs w:val="22"/>
              </w:rPr>
              <w:tab/>
            </w:r>
            <w:r w:rsidRPr="002029C4">
              <w:rPr>
                <w:b w:val="0"/>
                <w:bCs w:val="0"/>
                <w:noProof w:val="0"/>
                <w:webHidden/>
                <w:sz w:val="22"/>
                <w:szCs w:val="22"/>
              </w:rPr>
              <w:fldChar w:fldCharType="begin"/>
            </w:r>
            <w:r w:rsidRPr="002029C4">
              <w:rPr>
                <w:b w:val="0"/>
                <w:bCs w:val="0"/>
                <w:noProof w:val="0"/>
                <w:webHidden/>
                <w:sz w:val="22"/>
                <w:szCs w:val="22"/>
              </w:rPr>
              <w:instrText xml:space="preserve"> PAGEREF _Toc227235259 \h </w:instrText>
            </w:r>
            <w:r w:rsidRPr="002029C4">
              <w:rPr>
                <w:b w:val="0"/>
                <w:bCs w:val="0"/>
                <w:noProof w:val="0"/>
                <w:webHidden/>
                <w:sz w:val="22"/>
                <w:szCs w:val="22"/>
              </w:rPr>
            </w:r>
            <w:r w:rsidRPr="002029C4">
              <w:rPr>
                <w:b w:val="0"/>
                <w:bCs w:val="0"/>
                <w:noProof w:val="0"/>
                <w:webHidden/>
                <w:sz w:val="22"/>
                <w:szCs w:val="22"/>
              </w:rPr>
              <w:fldChar w:fldCharType="separate"/>
            </w:r>
            <w:r w:rsidRPr="002029C4">
              <w:rPr>
                <w:b w:val="0"/>
                <w:bCs w:val="0"/>
                <w:noProof w:val="0"/>
                <w:webHidden/>
                <w:sz w:val="22"/>
                <w:szCs w:val="22"/>
              </w:rPr>
              <w:t>24</w:t>
            </w:r>
            <w:r w:rsidRPr="002029C4">
              <w:rPr>
                <w:b w:val="0"/>
                <w:bCs w:val="0"/>
                <w:noProof w:val="0"/>
                <w:webHidden/>
                <w:sz w:val="22"/>
                <w:szCs w:val="22"/>
              </w:rPr>
              <w:fldChar w:fldCharType="end"/>
            </w:r>
          </w:hyperlink>
        </w:p>
        <w:p w14:paraId="1A3DE634" w14:textId="052E03E9" w:rsidR="00E740DD" w:rsidRPr="002029C4" w:rsidRDefault="00E740DD">
          <w:pPr>
            <w:pStyle w:val="TOC2"/>
            <w:rPr>
              <w:rFonts w:eastAsiaTheme="minorEastAsia"/>
              <w:b w:val="0"/>
              <w:bCs w:val="0"/>
              <w:smallCaps w:val="0"/>
              <w:noProof w:val="0"/>
              <w:kern w:val="2"/>
              <w:sz w:val="22"/>
              <w:szCs w:val="22"/>
              <w:lang w:eastAsia="en-US"/>
              <w14:ligatures w14:val="standardContextual"/>
            </w:rPr>
          </w:pPr>
          <w:hyperlink w:anchor="_Toc227235260" w:history="1">
            <w:r w:rsidRPr="002029C4">
              <w:rPr>
                <w:rStyle w:val="Hyperlink"/>
                <w:b w:val="0"/>
                <w:bCs w:val="0"/>
                <w:noProof w:val="0"/>
                <w:sz w:val="22"/>
                <w:szCs w:val="22"/>
              </w:rPr>
              <w:t>3.2 Procuring entities ITI score</w:t>
            </w:r>
            <w:r w:rsidRPr="002029C4">
              <w:rPr>
                <w:b w:val="0"/>
                <w:bCs w:val="0"/>
                <w:noProof w:val="0"/>
                <w:webHidden/>
                <w:sz w:val="22"/>
                <w:szCs w:val="22"/>
              </w:rPr>
              <w:tab/>
            </w:r>
            <w:r w:rsidRPr="002029C4">
              <w:rPr>
                <w:b w:val="0"/>
                <w:bCs w:val="0"/>
                <w:noProof w:val="0"/>
                <w:webHidden/>
                <w:sz w:val="22"/>
                <w:szCs w:val="22"/>
              </w:rPr>
              <w:fldChar w:fldCharType="begin"/>
            </w:r>
            <w:r w:rsidRPr="002029C4">
              <w:rPr>
                <w:b w:val="0"/>
                <w:bCs w:val="0"/>
                <w:noProof w:val="0"/>
                <w:webHidden/>
                <w:sz w:val="22"/>
                <w:szCs w:val="22"/>
              </w:rPr>
              <w:instrText xml:space="preserve"> PAGEREF _Toc227235260 \h </w:instrText>
            </w:r>
            <w:r w:rsidRPr="002029C4">
              <w:rPr>
                <w:b w:val="0"/>
                <w:bCs w:val="0"/>
                <w:noProof w:val="0"/>
                <w:webHidden/>
                <w:sz w:val="22"/>
                <w:szCs w:val="22"/>
              </w:rPr>
            </w:r>
            <w:r w:rsidRPr="002029C4">
              <w:rPr>
                <w:b w:val="0"/>
                <w:bCs w:val="0"/>
                <w:noProof w:val="0"/>
                <w:webHidden/>
                <w:sz w:val="22"/>
                <w:szCs w:val="22"/>
              </w:rPr>
              <w:fldChar w:fldCharType="separate"/>
            </w:r>
            <w:r w:rsidRPr="002029C4">
              <w:rPr>
                <w:b w:val="0"/>
                <w:bCs w:val="0"/>
                <w:noProof w:val="0"/>
                <w:webHidden/>
                <w:sz w:val="22"/>
                <w:szCs w:val="22"/>
              </w:rPr>
              <w:t>35</w:t>
            </w:r>
            <w:r w:rsidRPr="002029C4">
              <w:rPr>
                <w:b w:val="0"/>
                <w:bCs w:val="0"/>
                <w:noProof w:val="0"/>
                <w:webHidden/>
                <w:sz w:val="22"/>
                <w:szCs w:val="22"/>
              </w:rPr>
              <w:fldChar w:fldCharType="end"/>
            </w:r>
          </w:hyperlink>
        </w:p>
        <w:p w14:paraId="53B50F10" w14:textId="1DF08DFA" w:rsidR="00E740DD" w:rsidRPr="002029C4" w:rsidRDefault="00E62639">
          <w:pPr>
            <w:pStyle w:val="TOC2"/>
            <w:rPr>
              <w:rFonts w:eastAsiaTheme="minorEastAsia"/>
              <w:b w:val="0"/>
              <w:bCs w:val="0"/>
              <w:smallCaps w:val="0"/>
              <w:noProof w:val="0"/>
              <w:kern w:val="2"/>
              <w:sz w:val="22"/>
              <w:szCs w:val="22"/>
              <w:lang w:eastAsia="en-US"/>
              <w14:ligatures w14:val="standardContextual"/>
            </w:rPr>
          </w:pPr>
          <w:hyperlink w:anchor="_Toc227235261" w:history="1">
            <w:r>
              <w:rPr>
                <w:rStyle w:val="Hyperlink"/>
                <w:b w:val="0"/>
                <w:bCs w:val="0"/>
                <w:noProof w:val="0"/>
                <w:sz w:val="22"/>
                <w:szCs w:val="22"/>
              </w:rPr>
              <w:t>3.3 Infrastructure projects score</w:t>
            </w:r>
            <w:r>
              <w:rPr>
                <w:rStyle w:val="Hyperlink"/>
                <w:b w:val="0"/>
                <w:bCs w:val="0"/>
                <w:noProof w:val="0"/>
                <w:sz w:val="22"/>
                <w:szCs w:val="22"/>
              </w:rPr>
              <w:tab/>
              <w:t>49</w:t>
            </w:r>
          </w:hyperlink>
        </w:p>
        <w:p w14:paraId="640FBF2A" w14:textId="4DA8AA14" w:rsidR="00E740DD" w:rsidRPr="002029C4" w:rsidRDefault="00E740DD">
          <w:pPr>
            <w:pStyle w:val="TOC1"/>
            <w:tabs>
              <w:tab w:val="right" w:leader="dot" w:pos="9016"/>
            </w:tabs>
            <w:rPr>
              <w:rFonts w:ascii="Arial" w:eastAsiaTheme="minorEastAsia" w:hAnsi="Arial" w:cs="Arial"/>
              <w:b w:val="0"/>
              <w:bCs w:val="0"/>
              <w:caps w:val="0"/>
              <w:kern w:val="2"/>
              <w:sz w:val="22"/>
              <w:szCs w:val="22"/>
              <w:lang w:eastAsia="en-US"/>
              <w14:ligatures w14:val="standardContextual"/>
            </w:rPr>
          </w:pPr>
          <w:hyperlink w:anchor="_Toc227235262" w:history="1">
            <w:r w:rsidRPr="002029C4">
              <w:rPr>
                <w:rStyle w:val="Hyperlink"/>
                <w:rFonts w:ascii="Arial" w:eastAsia="Arial" w:hAnsi="Arial" w:cs="Arial"/>
                <w:sz w:val="22"/>
                <w:szCs w:val="22"/>
              </w:rPr>
              <w:t>Conclusions</w:t>
            </w:r>
            <w:r w:rsidRPr="002029C4">
              <w:rPr>
                <w:rFonts w:ascii="Arial" w:hAnsi="Arial" w:cs="Arial"/>
                <w:webHidden/>
                <w:sz w:val="22"/>
                <w:szCs w:val="22"/>
              </w:rPr>
              <w:tab/>
            </w:r>
            <w:r w:rsidRPr="002029C4">
              <w:rPr>
                <w:rFonts w:ascii="Arial" w:hAnsi="Arial" w:cs="Arial"/>
                <w:webHidden/>
                <w:sz w:val="22"/>
                <w:szCs w:val="22"/>
              </w:rPr>
              <w:fldChar w:fldCharType="begin"/>
            </w:r>
            <w:r w:rsidRPr="002029C4">
              <w:rPr>
                <w:rFonts w:ascii="Arial" w:hAnsi="Arial" w:cs="Arial"/>
                <w:webHidden/>
                <w:sz w:val="22"/>
                <w:szCs w:val="22"/>
              </w:rPr>
              <w:instrText xml:space="preserve"> PAGEREF _Toc227235262 \h </w:instrText>
            </w:r>
            <w:r w:rsidRPr="002029C4">
              <w:rPr>
                <w:rFonts w:ascii="Arial" w:hAnsi="Arial" w:cs="Arial"/>
                <w:webHidden/>
                <w:sz w:val="22"/>
                <w:szCs w:val="22"/>
              </w:rPr>
            </w:r>
            <w:r w:rsidRPr="002029C4">
              <w:rPr>
                <w:rFonts w:ascii="Arial" w:hAnsi="Arial" w:cs="Arial"/>
                <w:webHidden/>
                <w:sz w:val="22"/>
                <w:szCs w:val="22"/>
              </w:rPr>
              <w:fldChar w:fldCharType="separate"/>
            </w:r>
            <w:r w:rsidRPr="002029C4">
              <w:rPr>
                <w:rFonts w:ascii="Arial" w:hAnsi="Arial" w:cs="Arial"/>
                <w:webHidden/>
                <w:sz w:val="22"/>
                <w:szCs w:val="22"/>
              </w:rPr>
              <w:t>57</w:t>
            </w:r>
            <w:r w:rsidRPr="002029C4">
              <w:rPr>
                <w:rFonts w:ascii="Arial" w:hAnsi="Arial" w:cs="Arial"/>
                <w:webHidden/>
                <w:sz w:val="22"/>
                <w:szCs w:val="22"/>
              </w:rPr>
              <w:fldChar w:fldCharType="end"/>
            </w:r>
          </w:hyperlink>
        </w:p>
        <w:p w14:paraId="4B258CBE" w14:textId="00ECBE4E" w:rsidR="00E740DD" w:rsidRPr="002029C4" w:rsidRDefault="00E740DD">
          <w:pPr>
            <w:pStyle w:val="TOC1"/>
            <w:tabs>
              <w:tab w:val="right" w:leader="dot" w:pos="9016"/>
            </w:tabs>
            <w:rPr>
              <w:rFonts w:ascii="Arial" w:eastAsiaTheme="minorEastAsia" w:hAnsi="Arial" w:cs="Arial"/>
              <w:b w:val="0"/>
              <w:bCs w:val="0"/>
              <w:caps w:val="0"/>
              <w:kern w:val="2"/>
              <w:sz w:val="22"/>
              <w:szCs w:val="22"/>
              <w:lang w:eastAsia="en-US"/>
              <w14:ligatures w14:val="standardContextual"/>
            </w:rPr>
          </w:pPr>
          <w:hyperlink w:anchor="_Toc227235263" w:history="1">
            <w:r w:rsidRPr="002029C4">
              <w:rPr>
                <w:rStyle w:val="Hyperlink"/>
                <w:rFonts w:ascii="Arial" w:eastAsia="Arial" w:hAnsi="Arial" w:cs="Arial"/>
                <w:sz w:val="22"/>
                <w:szCs w:val="22"/>
              </w:rPr>
              <w:t>Recommendations</w:t>
            </w:r>
            <w:r w:rsidRPr="002029C4">
              <w:rPr>
                <w:rFonts w:ascii="Arial" w:hAnsi="Arial" w:cs="Arial"/>
                <w:webHidden/>
                <w:sz w:val="22"/>
                <w:szCs w:val="22"/>
              </w:rPr>
              <w:tab/>
            </w:r>
            <w:r w:rsidRPr="002029C4">
              <w:rPr>
                <w:rFonts w:ascii="Arial" w:hAnsi="Arial" w:cs="Arial"/>
                <w:webHidden/>
                <w:sz w:val="22"/>
                <w:szCs w:val="22"/>
              </w:rPr>
              <w:fldChar w:fldCharType="begin"/>
            </w:r>
            <w:r w:rsidRPr="002029C4">
              <w:rPr>
                <w:rFonts w:ascii="Arial" w:hAnsi="Arial" w:cs="Arial"/>
                <w:webHidden/>
                <w:sz w:val="22"/>
                <w:szCs w:val="22"/>
              </w:rPr>
              <w:instrText xml:space="preserve"> PAGEREF _Toc227235263 \h </w:instrText>
            </w:r>
            <w:r w:rsidRPr="002029C4">
              <w:rPr>
                <w:rFonts w:ascii="Arial" w:hAnsi="Arial" w:cs="Arial"/>
                <w:webHidden/>
                <w:sz w:val="22"/>
                <w:szCs w:val="22"/>
              </w:rPr>
            </w:r>
            <w:r w:rsidRPr="002029C4">
              <w:rPr>
                <w:rFonts w:ascii="Arial" w:hAnsi="Arial" w:cs="Arial"/>
                <w:webHidden/>
                <w:sz w:val="22"/>
                <w:szCs w:val="22"/>
              </w:rPr>
              <w:fldChar w:fldCharType="separate"/>
            </w:r>
            <w:r w:rsidRPr="002029C4">
              <w:rPr>
                <w:rFonts w:ascii="Arial" w:hAnsi="Arial" w:cs="Arial"/>
                <w:webHidden/>
                <w:sz w:val="22"/>
                <w:szCs w:val="22"/>
              </w:rPr>
              <w:t>60</w:t>
            </w:r>
            <w:r w:rsidRPr="002029C4">
              <w:rPr>
                <w:rFonts w:ascii="Arial" w:hAnsi="Arial" w:cs="Arial"/>
                <w:webHidden/>
                <w:sz w:val="22"/>
                <w:szCs w:val="22"/>
              </w:rPr>
              <w:fldChar w:fldCharType="end"/>
            </w:r>
          </w:hyperlink>
        </w:p>
        <w:p w14:paraId="7A9530BB" w14:textId="198412D0" w:rsidR="00E740DD" w:rsidRPr="002029C4" w:rsidRDefault="00E740DD">
          <w:pPr>
            <w:pStyle w:val="TOC1"/>
            <w:tabs>
              <w:tab w:val="right" w:leader="dot" w:pos="9016"/>
            </w:tabs>
            <w:rPr>
              <w:rFonts w:ascii="Arial" w:eastAsiaTheme="minorEastAsia" w:hAnsi="Arial" w:cs="Arial"/>
              <w:b w:val="0"/>
              <w:bCs w:val="0"/>
              <w:caps w:val="0"/>
              <w:kern w:val="2"/>
              <w:sz w:val="22"/>
              <w:szCs w:val="22"/>
              <w:lang w:eastAsia="en-US"/>
              <w14:ligatures w14:val="standardContextual"/>
            </w:rPr>
          </w:pPr>
          <w:hyperlink w:anchor="_Toc227235264" w:history="1">
            <w:r w:rsidRPr="002029C4">
              <w:rPr>
                <w:rStyle w:val="Hyperlink"/>
                <w:rFonts w:ascii="Arial" w:eastAsia="Arial" w:hAnsi="Arial" w:cs="Arial"/>
                <w:sz w:val="22"/>
                <w:szCs w:val="22"/>
              </w:rPr>
              <w:t>Annex 1 | Evaluation instrument</w:t>
            </w:r>
            <w:r w:rsidRPr="002029C4">
              <w:rPr>
                <w:rFonts w:ascii="Arial" w:hAnsi="Arial" w:cs="Arial"/>
                <w:webHidden/>
                <w:sz w:val="22"/>
                <w:szCs w:val="22"/>
              </w:rPr>
              <w:tab/>
            </w:r>
            <w:r w:rsidRPr="002029C4">
              <w:rPr>
                <w:rFonts w:ascii="Arial" w:hAnsi="Arial" w:cs="Arial"/>
                <w:webHidden/>
                <w:sz w:val="22"/>
                <w:szCs w:val="22"/>
              </w:rPr>
              <w:fldChar w:fldCharType="begin"/>
            </w:r>
            <w:r w:rsidRPr="002029C4">
              <w:rPr>
                <w:rFonts w:ascii="Arial" w:hAnsi="Arial" w:cs="Arial"/>
                <w:webHidden/>
                <w:sz w:val="22"/>
                <w:szCs w:val="22"/>
              </w:rPr>
              <w:instrText xml:space="preserve"> PAGEREF _Toc227235264 \h </w:instrText>
            </w:r>
            <w:r w:rsidRPr="002029C4">
              <w:rPr>
                <w:rFonts w:ascii="Arial" w:hAnsi="Arial" w:cs="Arial"/>
                <w:webHidden/>
                <w:sz w:val="22"/>
                <w:szCs w:val="22"/>
              </w:rPr>
            </w:r>
            <w:r w:rsidRPr="002029C4">
              <w:rPr>
                <w:rFonts w:ascii="Arial" w:hAnsi="Arial" w:cs="Arial"/>
                <w:webHidden/>
                <w:sz w:val="22"/>
                <w:szCs w:val="22"/>
              </w:rPr>
              <w:fldChar w:fldCharType="separate"/>
            </w:r>
            <w:r w:rsidRPr="002029C4">
              <w:rPr>
                <w:rFonts w:ascii="Arial" w:hAnsi="Arial" w:cs="Arial"/>
                <w:webHidden/>
                <w:sz w:val="22"/>
                <w:szCs w:val="22"/>
              </w:rPr>
              <w:t>62</w:t>
            </w:r>
            <w:r w:rsidRPr="002029C4">
              <w:rPr>
                <w:rFonts w:ascii="Arial" w:hAnsi="Arial" w:cs="Arial"/>
                <w:webHidden/>
                <w:sz w:val="22"/>
                <w:szCs w:val="22"/>
              </w:rPr>
              <w:fldChar w:fldCharType="end"/>
            </w:r>
          </w:hyperlink>
        </w:p>
        <w:p w14:paraId="487B82B9" w14:textId="462253F4" w:rsidR="00E740DD" w:rsidRPr="002029C4" w:rsidRDefault="00E740DD">
          <w:pPr>
            <w:pStyle w:val="TOC1"/>
            <w:tabs>
              <w:tab w:val="right" w:leader="dot" w:pos="9016"/>
            </w:tabs>
            <w:rPr>
              <w:rFonts w:ascii="Arial" w:eastAsiaTheme="minorEastAsia" w:hAnsi="Arial" w:cs="Arial"/>
              <w:b w:val="0"/>
              <w:bCs w:val="0"/>
              <w:caps w:val="0"/>
              <w:kern w:val="2"/>
              <w:sz w:val="22"/>
              <w:szCs w:val="22"/>
              <w:lang w:eastAsia="en-US"/>
              <w14:ligatures w14:val="standardContextual"/>
            </w:rPr>
          </w:pPr>
          <w:hyperlink w:anchor="_Toc227235265" w:history="1">
            <w:r w:rsidRPr="002029C4">
              <w:rPr>
                <w:rStyle w:val="Hyperlink"/>
                <w:rFonts w:ascii="Arial" w:eastAsia="Arial" w:hAnsi="Arial" w:cs="Arial"/>
                <w:sz w:val="22"/>
                <w:szCs w:val="22"/>
              </w:rPr>
              <w:t>Annex 2 | Procuring entities survey</w:t>
            </w:r>
            <w:r w:rsidRPr="002029C4">
              <w:rPr>
                <w:rFonts w:ascii="Arial" w:hAnsi="Arial" w:cs="Arial"/>
                <w:webHidden/>
                <w:sz w:val="22"/>
                <w:szCs w:val="22"/>
              </w:rPr>
              <w:tab/>
            </w:r>
            <w:r w:rsidRPr="002029C4">
              <w:rPr>
                <w:rFonts w:ascii="Arial" w:hAnsi="Arial" w:cs="Arial"/>
                <w:webHidden/>
                <w:sz w:val="22"/>
                <w:szCs w:val="22"/>
              </w:rPr>
              <w:fldChar w:fldCharType="begin"/>
            </w:r>
            <w:r w:rsidRPr="002029C4">
              <w:rPr>
                <w:rFonts w:ascii="Arial" w:hAnsi="Arial" w:cs="Arial"/>
                <w:webHidden/>
                <w:sz w:val="22"/>
                <w:szCs w:val="22"/>
              </w:rPr>
              <w:instrText xml:space="preserve"> PAGEREF _Toc227235265 \h </w:instrText>
            </w:r>
            <w:r w:rsidRPr="002029C4">
              <w:rPr>
                <w:rFonts w:ascii="Arial" w:hAnsi="Arial" w:cs="Arial"/>
                <w:webHidden/>
                <w:sz w:val="22"/>
                <w:szCs w:val="22"/>
              </w:rPr>
            </w:r>
            <w:r w:rsidRPr="002029C4">
              <w:rPr>
                <w:rFonts w:ascii="Arial" w:hAnsi="Arial" w:cs="Arial"/>
                <w:webHidden/>
                <w:sz w:val="22"/>
                <w:szCs w:val="22"/>
              </w:rPr>
              <w:fldChar w:fldCharType="separate"/>
            </w:r>
            <w:r w:rsidRPr="002029C4">
              <w:rPr>
                <w:rFonts w:ascii="Arial" w:hAnsi="Arial" w:cs="Arial"/>
                <w:webHidden/>
                <w:sz w:val="22"/>
                <w:szCs w:val="22"/>
              </w:rPr>
              <w:t>78</w:t>
            </w:r>
            <w:r w:rsidRPr="002029C4">
              <w:rPr>
                <w:rFonts w:ascii="Arial" w:hAnsi="Arial" w:cs="Arial"/>
                <w:webHidden/>
                <w:sz w:val="22"/>
                <w:szCs w:val="22"/>
              </w:rPr>
              <w:fldChar w:fldCharType="end"/>
            </w:r>
          </w:hyperlink>
        </w:p>
        <w:p w14:paraId="4552D8BC" w14:textId="2CB69ED1" w:rsidR="00E740DD" w:rsidRPr="002029C4" w:rsidRDefault="00E740DD">
          <w:pPr>
            <w:pStyle w:val="TOC1"/>
            <w:tabs>
              <w:tab w:val="right" w:leader="dot" w:pos="9016"/>
            </w:tabs>
            <w:rPr>
              <w:rFonts w:ascii="Arial" w:eastAsiaTheme="minorEastAsia" w:hAnsi="Arial" w:cs="Arial"/>
              <w:b w:val="0"/>
              <w:bCs w:val="0"/>
              <w:caps w:val="0"/>
              <w:kern w:val="2"/>
              <w:sz w:val="22"/>
              <w:szCs w:val="22"/>
              <w:lang w:eastAsia="en-US"/>
              <w14:ligatures w14:val="standardContextual"/>
            </w:rPr>
          </w:pPr>
          <w:hyperlink w:anchor="_Toc227235266" w:history="1">
            <w:r w:rsidRPr="002029C4">
              <w:rPr>
                <w:rStyle w:val="Hyperlink"/>
                <w:rFonts w:ascii="Arial" w:eastAsia="Arial" w:hAnsi="Arial" w:cs="Arial"/>
                <w:sz w:val="22"/>
                <w:szCs w:val="22"/>
              </w:rPr>
              <w:t>Annex 3 | National ITI scores by indicator</w:t>
            </w:r>
            <w:r w:rsidRPr="002029C4">
              <w:rPr>
                <w:rFonts w:ascii="Arial" w:hAnsi="Arial" w:cs="Arial"/>
                <w:webHidden/>
                <w:sz w:val="22"/>
                <w:szCs w:val="22"/>
              </w:rPr>
              <w:tab/>
            </w:r>
            <w:r w:rsidRPr="002029C4">
              <w:rPr>
                <w:rFonts w:ascii="Arial" w:hAnsi="Arial" w:cs="Arial"/>
                <w:webHidden/>
                <w:sz w:val="22"/>
                <w:szCs w:val="22"/>
              </w:rPr>
              <w:fldChar w:fldCharType="begin"/>
            </w:r>
            <w:r w:rsidRPr="002029C4">
              <w:rPr>
                <w:rFonts w:ascii="Arial" w:hAnsi="Arial" w:cs="Arial"/>
                <w:webHidden/>
                <w:sz w:val="22"/>
                <w:szCs w:val="22"/>
              </w:rPr>
              <w:instrText xml:space="preserve"> PAGEREF _Toc227235266 \h </w:instrText>
            </w:r>
            <w:r w:rsidRPr="002029C4">
              <w:rPr>
                <w:rFonts w:ascii="Arial" w:hAnsi="Arial" w:cs="Arial"/>
                <w:webHidden/>
                <w:sz w:val="22"/>
                <w:szCs w:val="22"/>
              </w:rPr>
            </w:r>
            <w:r w:rsidRPr="002029C4">
              <w:rPr>
                <w:rFonts w:ascii="Arial" w:hAnsi="Arial" w:cs="Arial"/>
                <w:webHidden/>
                <w:sz w:val="22"/>
                <w:szCs w:val="22"/>
              </w:rPr>
              <w:fldChar w:fldCharType="separate"/>
            </w:r>
            <w:r w:rsidRPr="002029C4">
              <w:rPr>
                <w:rFonts w:ascii="Arial" w:hAnsi="Arial" w:cs="Arial"/>
                <w:webHidden/>
                <w:sz w:val="22"/>
                <w:szCs w:val="22"/>
              </w:rPr>
              <w:t>91</w:t>
            </w:r>
            <w:r w:rsidRPr="002029C4">
              <w:rPr>
                <w:rFonts w:ascii="Arial" w:hAnsi="Arial" w:cs="Arial"/>
                <w:webHidden/>
                <w:sz w:val="22"/>
                <w:szCs w:val="22"/>
              </w:rPr>
              <w:fldChar w:fldCharType="end"/>
            </w:r>
          </w:hyperlink>
        </w:p>
        <w:p w14:paraId="165182DC" w14:textId="2E0555A8" w:rsidR="00E740DD" w:rsidRPr="00E619C8" w:rsidRDefault="00E740DD">
          <w:pPr>
            <w:pStyle w:val="TOC1"/>
            <w:tabs>
              <w:tab w:val="right" w:leader="dot" w:pos="9016"/>
            </w:tabs>
            <w:rPr>
              <w:rFonts w:eastAsiaTheme="minorEastAsia" w:cstheme="minorBidi"/>
              <w:b w:val="0"/>
              <w:bCs w:val="0"/>
              <w:caps w:val="0"/>
              <w:kern w:val="2"/>
              <w:sz w:val="24"/>
              <w:szCs w:val="24"/>
              <w:lang w:eastAsia="en-US"/>
              <w14:ligatures w14:val="standardContextual"/>
            </w:rPr>
          </w:pPr>
          <w:hyperlink w:anchor="_Toc227235267" w:history="1">
            <w:r w:rsidRPr="002029C4">
              <w:rPr>
                <w:rStyle w:val="Hyperlink"/>
                <w:rFonts w:ascii="Arial" w:eastAsia="Arial" w:hAnsi="Arial" w:cs="Arial"/>
                <w:sz w:val="22"/>
                <w:szCs w:val="22"/>
              </w:rPr>
              <w:t>Annex 4 | Procuring entities scorecards</w:t>
            </w:r>
            <w:r w:rsidRPr="002029C4">
              <w:rPr>
                <w:rFonts w:ascii="Arial" w:hAnsi="Arial" w:cs="Arial"/>
                <w:webHidden/>
                <w:sz w:val="22"/>
                <w:szCs w:val="22"/>
              </w:rPr>
              <w:tab/>
            </w:r>
            <w:r w:rsidRPr="002029C4">
              <w:rPr>
                <w:rFonts w:ascii="Arial" w:hAnsi="Arial" w:cs="Arial"/>
                <w:webHidden/>
                <w:sz w:val="22"/>
                <w:szCs w:val="22"/>
              </w:rPr>
              <w:fldChar w:fldCharType="begin"/>
            </w:r>
            <w:r w:rsidRPr="002029C4">
              <w:rPr>
                <w:rFonts w:ascii="Arial" w:hAnsi="Arial" w:cs="Arial"/>
                <w:webHidden/>
                <w:sz w:val="22"/>
                <w:szCs w:val="22"/>
              </w:rPr>
              <w:instrText xml:space="preserve"> PAGEREF _Toc227235267 \h </w:instrText>
            </w:r>
            <w:r w:rsidRPr="002029C4">
              <w:rPr>
                <w:rFonts w:ascii="Arial" w:hAnsi="Arial" w:cs="Arial"/>
                <w:webHidden/>
                <w:sz w:val="22"/>
                <w:szCs w:val="22"/>
              </w:rPr>
            </w:r>
            <w:r w:rsidRPr="002029C4">
              <w:rPr>
                <w:rFonts w:ascii="Arial" w:hAnsi="Arial" w:cs="Arial"/>
                <w:webHidden/>
                <w:sz w:val="22"/>
                <w:szCs w:val="22"/>
              </w:rPr>
              <w:fldChar w:fldCharType="separate"/>
            </w:r>
            <w:r w:rsidRPr="002029C4">
              <w:rPr>
                <w:rFonts w:ascii="Arial" w:hAnsi="Arial" w:cs="Arial"/>
                <w:webHidden/>
                <w:sz w:val="22"/>
                <w:szCs w:val="22"/>
              </w:rPr>
              <w:t>99</w:t>
            </w:r>
            <w:r w:rsidRPr="002029C4">
              <w:rPr>
                <w:rFonts w:ascii="Arial" w:hAnsi="Arial" w:cs="Arial"/>
                <w:webHidden/>
                <w:sz w:val="22"/>
                <w:szCs w:val="22"/>
              </w:rPr>
              <w:fldChar w:fldCharType="end"/>
            </w:r>
          </w:hyperlink>
        </w:p>
        <w:p w14:paraId="3ED6FE71" w14:textId="5015EE3D" w:rsidR="002033A5" w:rsidRPr="00E619C8" w:rsidRDefault="003135B4">
          <w:pPr>
            <w:rPr>
              <w:rFonts w:ascii="Arial" w:hAnsi="Arial" w:cs="Arial"/>
            </w:rPr>
          </w:pPr>
          <w:r w:rsidRPr="00E619C8">
            <w:rPr>
              <w:rFonts w:ascii="Arial" w:hAnsi="Arial" w:cs="Arial"/>
              <w:b/>
              <w:bCs/>
              <w:sz w:val="22"/>
              <w:szCs w:val="22"/>
            </w:rPr>
            <w:fldChar w:fldCharType="end"/>
          </w:r>
        </w:p>
      </w:sdtContent>
    </w:sdt>
    <w:p w14:paraId="74432424" w14:textId="43406E93" w:rsidR="002033A5" w:rsidRPr="00E619C8" w:rsidRDefault="00E113EC" w:rsidP="003135B4">
      <w:pPr>
        <w:pStyle w:val="Heading1"/>
        <w:pBdr>
          <w:top w:val="nil"/>
          <w:left w:val="nil"/>
          <w:bottom w:val="nil"/>
          <w:right w:val="nil"/>
          <w:between w:val="nil"/>
        </w:pBdr>
        <w:spacing w:before="120" w:after="240" w:line="276" w:lineRule="auto"/>
        <w:rPr>
          <w:rFonts w:ascii="Arial" w:eastAsia="Arial" w:hAnsi="Arial" w:cs="Arial"/>
          <w:b/>
          <w:bCs/>
          <w:color w:val="C00000"/>
          <w:sz w:val="48"/>
          <w:szCs w:val="48"/>
        </w:rPr>
      </w:pPr>
      <w:r w:rsidRPr="00E619C8">
        <w:br w:type="page"/>
      </w:r>
      <w:bookmarkStart w:id="2" w:name="_Toc227235244"/>
      <w:r w:rsidR="003135B4" w:rsidRPr="00E619C8">
        <w:rPr>
          <w:rFonts w:ascii="Arial" w:eastAsia="Arial" w:hAnsi="Arial" w:cs="Arial"/>
          <w:b/>
          <w:bCs/>
          <w:color w:val="C00000"/>
          <w:sz w:val="48"/>
          <w:szCs w:val="48"/>
        </w:rPr>
        <w:lastRenderedPageBreak/>
        <w:t>Chapter 1 |</w:t>
      </w:r>
      <w:r w:rsidRPr="00E619C8">
        <w:rPr>
          <w:rFonts w:ascii="Arial" w:eastAsia="Arial" w:hAnsi="Arial" w:cs="Arial"/>
          <w:b/>
          <w:bCs/>
          <w:color w:val="C00000"/>
          <w:sz w:val="48"/>
          <w:szCs w:val="48"/>
        </w:rPr>
        <w:t xml:space="preserve"> Infrastructure Transparency Index</w:t>
      </w:r>
      <w:bookmarkEnd w:id="2"/>
    </w:p>
    <w:p w14:paraId="27413E20" w14:textId="075B6FEF" w:rsidR="00010315" w:rsidRPr="00E619C8" w:rsidRDefault="00010315" w:rsidP="00010315">
      <w:pPr>
        <w:jc w:val="both"/>
        <w:rPr>
          <w:rFonts w:ascii="Arial" w:hAnsi="Arial" w:cs="Arial"/>
          <w:b/>
          <w:bCs/>
          <w:color w:val="C00000"/>
          <w:sz w:val="28"/>
          <w:szCs w:val="28"/>
        </w:rPr>
      </w:pPr>
      <w:r w:rsidRPr="00E619C8">
        <w:rPr>
          <w:rFonts w:ascii="Arial" w:hAnsi="Arial" w:cs="Arial"/>
          <w:b/>
          <w:bCs/>
          <w:color w:val="C00000"/>
          <w:sz w:val="28"/>
          <w:szCs w:val="28"/>
        </w:rPr>
        <w:t xml:space="preserve">Executive Summary </w:t>
      </w:r>
    </w:p>
    <w:p w14:paraId="4AB6B7FE" w14:textId="77777777" w:rsidR="00010315" w:rsidRPr="00E619C8" w:rsidRDefault="00010315" w:rsidP="00010315">
      <w:pPr>
        <w:jc w:val="both"/>
        <w:rPr>
          <w:rFonts w:ascii="Arial" w:hAnsi="Arial" w:cs="Arial"/>
          <w:b/>
          <w:bCs/>
        </w:rPr>
      </w:pPr>
    </w:p>
    <w:p w14:paraId="3CC20A10" w14:textId="33B7A4FD" w:rsidR="00010315" w:rsidRPr="00524712" w:rsidRDefault="00010315" w:rsidP="00212ABA">
      <w:pPr>
        <w:spacing w:line="276" w:lineRule="auto"/>
        <w:jc w:val="both"/>
        <w:rPr>
          <w:rFonts w:ascii="Arial" w:hAnsi="Arial" w:cs="Arial"/>
          <w:sz w:val="22"/>
          <w:szCs w:val="22"/>
        </w:rPr>
      </w:pPr>
      <w:r w:rsidRPr="00524712">
        <w:rPr>
          <w:rFonts w:ascii="Arial" w:hAnsi="Arial" w:cs="Arial"/>
          <w:sz w:val="22"/>
          <w:szCs w:val="22"/>
        </w:rPr>
        <w:t>The Infrastructure Transparency Index (ITI) is an instrument developed by CoST to measure the level of transparency and the quality of processes related to public infrastructure at national and sub-national levels. It provides a global standard for improving transparency, participation, and accountability, based on the CoST approach of disclosure, independent data review, multi-stakeholder collaboration, and social accountability. The final ITI score is calculated as a weighted sum of four dimensions: (1) enabling environment, (2) capacity and process, (3) citizen participation, and (4) information disclosure. West Nusa Tenggara (NTB) is among the provinces in Indonesia that has implemented this approach.</w:t>
      </w:r>
    </w:p>
    <w:p w14:paraId="6A0DEFDB" w14:textId="77777777" w:rsidR="00010315" w:rsidRPr="00524712" w:rsidRDefault="00010315" w:rsidP="00212ABA">
      <w:pPr>
        <w:spacing w:line="276" w:lineRule="auto"/>
        <w:jc w:val="both"/>
        <w:rPr>
          <w:rFonts w:ascii="Arial" w:hAnsi="Arial" w:cs="Arial"/>
          <w:sz w:val="22"/>
          <w:szCs w:val="22"/>
        </w:rPr>
      </w:pPr>
    </w:p>
    <w:p w14:paraId="7B08E625" w14:textId="3EF0EE06" w:rsidR="00010315" w:rsidRPr="00524712" w:rsidRDefault="00010315" w:rsidP="00212ABA">
      <w:pPr>
        <w:spacing w:line="276" w:lineRule="auto"/>
        <w:jc w:val="both"/>
        <w:rPr>
          <w:rFonts w:ascii="Arial" w:hAnsi="Arial" w:cs="Arial"/>
          <w:sz w:val="22"/>
          <w:szCs w:val="22"/>
        </w:rPr>
      </w:pPr>
      <w:r w:rsidRPr="00524712">
        <w:rPr>
          <w:rFonts w:ascii="Arial" w:hAnsi="Arial" w:cs="Arial"/>
          <w:sz w:val="22"/>
          <w:szCs w:val="22"/>
        </w:rPr>
        <w:t xml:space="preserve">The methodology varies by dimension. </w:t>
      </w:r>
      <w:r w:rsidR="00746A24">
        <w:rPr>
          <w:rFonts w:ascii="Arial" w:hAnsi="Arial" w:cs="Arial"/>
          <w:sz w:val="22"/>
          <w:szCs w:val="22"/>
        </w:rPr>
        <w:t xml:space="preserve">Dimensions 1 (enabling environment) and 4 (information disclosure) are assessed through desk research, </w:t>
      </w:r>
      <w:r w:rsidR="00212ABA">
        <w:rPr>
          <w:rFonts w:ascii="Arial" w:hAnsi="Arial" w:cs="Arial"/>
          <w:sz w:val="22"/>
          <w:szCs w:val="22"/>
        </w:rPr>
        <w:t>with each requiring at least two evaluators who independently conduct assessments and use</w:t>
      </w:r>
      <w:r w:rsidRPr="00524712">
        <w:rPr>
          <w:rFonts w:ascii="Arial" w:hAnsi="Arial" w:cs="Arial"/>
          <w:sz w:val="22"/>
          <w:szCs w:val="22"/>
        </w:rPr>
        <w:t xml:space="preserve"> supporting evidence to </w:t>
      </w:r>
      <w:r w:rsidR="007108D9">
        <w:rPr>
          <w:rFonts w:ascii="Arial" w:hAnsi="Arial" w:cs="Arial"/>
          <w:sz w:val="22"/>
          <w:szCs w:val="22"/>
        </w:rPr>
        <w:t>minimise</w:t>
      </w:r>
      <w:r w:rsidRPr="00524712">
        <w:rPr>
          <w:rFonts w:ascii="Arial" w:hAnsi="Arial" w:cs="Arial"/>
          <w:sz w:val="22"/>
          <w:szCs w:val="22"/>
        </w:rPr>
        <w:t xml:space="preserve"> bias. </w:t>
      </w:r>
      <w:r w:rsidR="00746A24">
        <w:rPr>
          <w:rFonts w:ascii="Arial" w:hAnsi="Arial" w:cs="Arial"/>
          <w:sz w:val="22"/>
          <w:szCs w:val="22"/>
        </w:rPr>
        <w:t>Dimensions 2 (capacity and process) and 3 (citizen participation) are evaluated through a survey administered once to an officer or group of officers in each Procuring Entity (PE), using</w:t>
      </w:r>
      <w:r w:rsidRPr="00524712">
        <w:rPr>
          <w:rFonts w:ascii="Arial" w:hAnsi="Arial" w:cs="Arial"/>
          <w:sz w:val="22"/>
          <w:szCs w:val="22"/>
        </w:rPr>
        <w:t xml:space="preserve"> self-assessment or interviews.</w:t>
      </w:r>
    </w:p>
    <w:p w14:paraId="22C2E9B0" w14:textId="77777777" w:rsidR="00010315" w:rsidRPr="00524712" w:rsidRDefault="00010315" w:rsidP="00212ABA">
      <w:pPr>
        <w:spacing w:line="276" w:lineRule="auto"/>
        <w:jc w:val="both"/>
        <w:rPr>
          <w:rFonts w:ascii="Arial" w:hAnsi="Arial" w:cs="Arial"/>
          <w:sz w:val="22"/>
          <w:szCs w:val="22"/>
        </w:rPr>
      </w:pPr>
    </w:p>
    <w:p w14:paraId="4E31408A" w14:textId="43357D15" w:rsidR="00010315" w:rsidRPr="00524712" w:rsidRDefault="00010315" w:rsidP="00212ABA">
      <w:pPr>
        <w:spacing w:line="276" w:lineRule="auto"/>
        <w:jc w:val="both"/>
        <w:rPr>
          <w:rFonts w:ascii="Arial" w:hAnsi="Arial" w:cs="Arial"/>
          <w:sz w:val="22"/>
          <w:szCs w:val="22"/>
        </w:rPr>
      </w:pPr>
      <w:r w:rsidRPr="00524712">
        <w:rPr>
          <w:rFonts w:ascii="Arial" w:hAnsi="Arial" w:cs="Arial"/>
          <w:sz w:val="22"/>
          <w:szCs w:val="22"/>
        </w:rPr>
        <w:t xml:space="preserve">The findings show that NTB has a moderate level of infrastructure transparency, with a sub-national ITI score of 40.16, slightly below the international average of 42.73, indicating that foundational frameworks are in place but not yet fully translated into consistent outcomes. Performance is uneven, with stronger results in the enabling environment (56.60) and moderate institutional capacity (48.30), but weaker </w:t>
      </w:r>
      <w:r w:rsidR="00746A24">
        <w:rPr>
          <w:rFonts w:ascii="Arial" w:hAnsi="Arial" w:cs="Arial"/>
          <w:sz w:val="22"/>
          <w:szCs w:val="22"/>
        </w:rPr>
        <w:t>in citizen participation (31.61) and information disclosure (29.83), with practices remaining</w:t>
      </w:r>
      <w:r w:rsidRPr="00524712">
        <w:rPr>
          <w:rFonts w:ascii="Arial" w:hAnsi="Arial" w:cs="Arial"/>
          <w:sz w:val="22"/>
          <w:szCs w:val="22"/>
        </w:rPr>
        <w:t xml:space="preserve"> fragmented. The average PE score of 36.74, with a wide gap between </w:t>
      </w:r>
      <w:r w:rsidR="00746A24">
        <w:rPr>
          <w:rFonts w:ascii="Arial" w:hAnsi="Arial" w:cs="Arial"/>
          <w:sz w:val="22"/>
          <w:szCs w:val="22"/>
        </w:rPr>
        <w:t>the highest (57.02) and the lowest (18.65), highlights significant institutional disparities</w:t>
      </w:r>
      <w:r w:rsidR="0096049D">
        <w:rPr>
          <w:rFonts w:ascii="Arial" w:hAnsi="Arial" w:cs="Arial"/>
          <w:sz w:val="22"/>
          <w:szCs w:val="22"/>
        </w:rPr>
        <w:t>. In contrast,</w:t>
      </w:r>
      <w:r w:rsidR="00746A24">
        <w:rPr>
          <w:rFonts w:ascii="Arial" w:hAnsi="Arial" w:cs="Arial"/>
          <w:sz w:val="22"/>
          <w:szCs w:val="22"/>
        </w:rPr>
        <w:t xml:space="preserve"> project scores show less variation (40.70–24.10), suggesting the influence of standardised</w:t>
      </w:r>
      <w:r w:rsidRPr="00524712">
        <w:rPr>
          <w:rFonts w:ascii="Arial" w:hAnsi="Arial" w:cs="Arial"/>
          <w:sz w:val="22"/>
          <w:szCs w:val="22"/>
        </w:rPr>
        <w:t xml:space="preserve"> procedures. Budget size has minimal impact on performance, and variations persist across sectors and institution types. The lack of an integrated transparency portal and dedicated staff further constrains progress, indicating that while minimum standards exist, stronger and more consistent institutional implementation is needed to reduce disparities and improve overall transparency.</w:t>
      </w:r>
    </w:p>
    <w:p w14:paraId="55667167" w14:textId="57105F8B" w:rsidR="009F58A5" w:rsidRPr="00524712" w:rsidRDefault="009F58A5" w:rsidP="00212ABA">
      <w:pPr>
        <w:spacing w:line="276" w:lineRule="auto"/>
        <w:jc w:val="both"/>
        <w:rPr>
          <w:rFonts w:ascii="Arial" w:hAnsi="Arial" w:cs="Arial"/>
          <w:sz w:val="22"/>
          <w:szCs w:val="22"/>
        </w:rPr>
      </w:pPr>
    </w:p>
    <w:p w14:paraId="61E6DA47" w14:textId="692A016D" w:rsidR="00010315" w:rsidRPr="00524712" w:rsidRDefault="00010315" w:rsidP="00212ABA">
      <w:pPr>
        <w:spacing w:line="276" w:lineRule="auto"/>
        <w:jc w:val="both"/>
        <w:rPr>
          <w:rFonts w:ascii="Arial" w:hAnsi="Arial" w:cs="Arial"/>
          <w:sz w:val="22"/>
          <w:szCs w:val="22"/>
        </w:rPr>
      </w:pPr>
      <w:r w:rsidRPr="00524712">
        <w:rPr>
          <w:rFonts w:ascii="Arial" w:hAnsi="Arial" w:cs="Arial"/>
          <w:sz w:val="22"/>
          <w:szCs w:val="22"/>
        </w:rPr>
        <w:t>Based on the ITI findings, which show a relatively strong enabling environment but weaker performance in citizen participation and information disclosure, N</w:t>
      </w:r>
      <w:r w:rsidR="00E62639">
        <w:rPr>
          <w:rFonts w:ascii="Arial" w:hAnsi="Arial" w:cs="Arial"/>
          <w:sz w:val="22"/>
          <w:szCs w:val="22"/>
        </w:rPr>
        <w:t xml:space="preserve">usa </w:t>
      </w:r>
      <w:r w:rsidRPr="00524712">
        <w:rPr>
          <w:rFonts w:ascii="Arial" w:hAnsi="Arial" w:cs="Arial"/>
          <w:sz w:val="22"/>
          <w:szCs w:val="22"/>
        </w:rPr>
        <w:t>T</w:t>
      </w:r>
      <w:r w:rsidR="00E62639">
        <w:rPr>
          <w:rFonts w:ascii="Arial" w:hAnsi="Arial" w:cs="Arial"/>
          <w:sz w:val="22"/>
          <w:szCs w:val="22"/>
        </w:rPr>
        <w:t xml:space="preserve">enggara </w:t>
      </w:r>
      <w:r w:rsidRPr="00524712">
        <w:rPr>
          <w:rFonts w:ascii="Arial" w:hAnsi="Arial" w:cs="Arial"/>
          <w:sz w:val="22"/>
          <w:szCs w:val="22"/>
        </w:rPr>
        <w:t>B</w:t>
      </w:r>
      <w:r w:rsidR="00E62639">
        <w:rPr>
          <w:rFonts w:ascii="Arial" w:hAnsi="Arial" w:cs="Arial"/>
          <w:sz w:val="22"/>
          <w:szCs w:val="22"/>
        </w:rPr>
        <w:t>arat (NTB)</w:t>
      </w:r>
      <w:r w:rsidRPr="00524712">
        <w:rPr>
          <w:rFonts w:ascii="Arial" w:hAnsi="Arial" w:cs="Arial"/>
          <w:sz w:val="22"/>
          <w:szCs w:val="22"/>
        </w:rPr>
        <w:t xml:space="preserve"> should </w:t>
      </w:r>
      <w:r w:rsidR="00746A24">
        <w:rPr>
          <w:rFonts w:ascii="Arial" w:hAnsi="Arial" w:cs="Arial"/>
          <w:sz w:val="22"/>
          <w:szCs w:val="22"/>
        </w:rPr>
        <w:t>prioritise establishing a Governor Regulation that mandates comprehensive, standards-aligned infrastructure data publication across the full project lifecycle through a centralised</w:t>
      </w:r>
      <w:r w:rsidRPr="00524712">
        <w:rPr>
          <w:rFonts w:ascii="Arial" w:hAnsi="Arial" w:cs="Arial"/>
          <w:sz w:val="22"/>
          <w:szCs w:val="22"/>
        </w:rPr>
        <w:t xml:space="preserve"> platform like INTRAS, with clear institutional responsibilities. Strengthening the capacity of Information Officers, </w:t>
      </w:r>
      <w:r w:rsidR="00746A24">
        <w:rPr>
          <w:rFonts w:ascii="Arial" w:hAnsi="Arial" w:cs="Arial"/>
          <w:sz w:val="22"/>
          <w:szCs w:val="22"/>
        </w:rPr>
        <w:t>institutionalising</w:t>
      </w:r>
      <w:r w:rsidRPr="00524712">
        <w:rPr>
          <w:rFonts w:ascii="Arial" w:hAnsi="Arial" w:cs="Arial"/>
          <w:sz w:val="22"/>
          <w:szCs w:val="22"/>
        </w:rPr>
        <w:t xml:space="preserve"> public consultations, and ensuring their participation in forums such as Musrenbang are essential to improve documentation and engagement. The INTRAS platform should be expanded and regularly updated, supported by automated systems, while a review of bureaucratic processes can address barriers to transparency. Efforts should also promote public awareness and expand data disclosure across all project stages, including supervision and monitoring, alongside </w:t>
      </w:r>
      <w:r w:rsidR="00746A24">
        <w:rPr>
          <w:rFonts w:ascii="Arial" w:hAnsi="Arial" w:cs="Arial"/>
          <w:sz w:val="22"/>
          <w:szCs w:val="22"/>
        </w:rPr>
        <w:t>institutionalising</w:t>
      </w:r>
      <w:r w:rsidRPr="00524712">
        <w:rPr>
          <w:rFonts w:ascii="Arial" w:hAnsi="Arial" w:cs="Arial"/>
          <w:sz w:val="22"/>
          <w:szCs w:val="22"/>
        </w:rPr>
        <w:t xml:space="preserve"> the biennial ITI to track and sustain progress.</w:t>
      </w:r>
    </w:p>
    <w:p w14:paraId="1C9B3F22" w14:textId="77777777" w:rsidR="009F58A5" w:rsidRPr="00E619C8" w:rsidRDefault="009F58A5" w:rsidP="009F58A5"/>
    <w:p w14:paraId="4ECE7BC1" w14:textId="5F53B4A8" w:rsidR="002033A5" w:rsidRPr="00E619C8" w:rsidRDefault="00E113EC">
      <w:pPr>
        <w:pStyle w:val="Heading2"/>
        <w:spacing w:before="320" w:after="160" w:line="276" w:lineRule="auto"/>
        <w:jc w:val="both"/>
      </w:pPr>
      <w:bookmarkStart w:id="3" w:name="_Toc227235245"/>
      <w:r w:rsidRPr="00E619C8">
        <w:rPr>
          <w:rFonts w:ascii="Arial" w:eastAsia="Arial" w:hAnsi="Arial" w:cs="Arial"/>
          <w:b/>
          <w:bCs/>
          <w:color w:val="C00000"/>
          <w:sz w:val="28"/>
          <w:szCs w:val="28"/>
        </w:rPr>
        <w:t xml:space="preserve">1.1 </w:t>
      </w:r>
      <w:r w:rsidR="00F913E9" w:rsidRPr="00E619C8">
        <w:rPr>
          <w:rFonts w:ascii="Arial" w:eastAsia="Arial" w:hAnsi="Arial" w:cs="Arial"/>
          <w:b/>
          <w:bCs/>
          <w:color w:val="C00000"/>
          <w:sz w:val="28"/>
          <w:szCs w:val="28"/>
        </w:rPr>
        <w:t>CoST Approach</w:t>
      </w:r>
      <w:bookmarkEnd w:id="3"/>
    </w:p>
    <w:p w14:paraId="626E6C8F" w14:textId="319AED2C" w:rsidR="002033A5" w:rsidRPr="00E619C8" w:rsidRDefault="002C7F6B">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CoST –the Infrastructure Transparency Initiative has developed an approach that is flexible to suit the context and aims to complement and add value to recognised good practice. It provides a global standard for improving infrastructure transparency, participation</w:t>
      </w:r>
      <w:r w:rsidR="00E152F9">
        <w:rPr>
          <w:rFonts w:ascii="Arial" w:eastAsia="Arial" w:hAnsi="Arial" w:cs="Arial"/>
          <w:sz w:val="22"/>
          <w:szCs w:val="22"/>
        </w:rPr>
        <w:t>, and accountability, based on CoST's four pillars: data publication, independent data review, multi-stakeholder working,</w:t>
      </w:r>
      <w:r w:rsidRPr="00E619C8">
        <w:rPr>
          <w:rFonts w:ascii="Arial" w:eastAsia="Arial" w:hAnsi="Arial" w:cs="Arial"/>
          <w:sz w:val="22"/>
          <w:szCs w:val="22"/>
        </w:rPr>
        <w:t xml:space="preserve"> and social accountability.</w:t>
      </w:r>
    </w:p>
    <w:p w14:paraId="414794CC" w14:textId="5D20D595" w:rsidR="002033A5" w:rsidRPr="00E619C8" w:rsidRDefault="00D231F1">
      <w:pPr>
        <w:numPr>
          <w:ilvl w:val="0"/>
          <w:numId w:val="23"/>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 xml:space="preserve">Publication of Data from infrastructure projects. </w:t>
      </w:r>
      <w:r w:rsidR="00627C36" w:rsidRPr="00E619C8">
        <w:rPr>
          <w:rFonts w:ascii="Arial" w:eastAsia="Arial" w:hAnsi="Arial" w:cs="Arial"/>
          <w:sz w:val="22"/>
          <w:szCs w:val="22"/>
        </w:rPr>
        <w:t>Sixty-seven</w:t>
      </w:r>
      <w:r w:rsidR="00F913E9" w:rsidRPr="00E619C8">
        <w:rPr>
          <w:rFonts w:ascii="Arial" w:eastAsia="Arial" w:hAnsi="Arial" w:cs="Arial"/>
          <w:sz w:val="22"/>
          <w:szCs w:val="22"/>
        </w:rPr>
        <w:t xml:space="preserve"> data</w:t>
      </w:r>
      <w:r w:rsidRPr="00E619C8">
        <w:rPr>
          <w:rFonts w:ascii="Arial" w:eastAsia="Arial" w:hAnsi="Arial" w:cs="Arial"/>
          <w:sz w:val="22"/>
          <w:szCs w:val="22"/>
        </w:rPr>
        <w:t xml:space="preserve"> points are disclosed by procuring entities at key stages throughout the </w:t>
      </w:r>
      <w:r w:rsidR="007108D9">
        <w:rPr>
          <w:rFonts w:ascii="Arial" w:eastAsia="Arial" w:hAnsi="Arial" w:cs="Arial"/>
          <w:sz w:val="22"/>
          <w:szCs w:val="22"/>
        </w:rPr>
        <w:t>project cycle, in keeping with the CoST Infrastructure Data Standard (CoST IDS) and, increasingly,</w:t>
      </w:r>
      <w:r w:rsidRPr="00E619C8">
        <w:rPr>
          <w:rFonts w:ascii="Arial" w:eastAsia="Arial" w:hAnsi="Arial" w:cs="Arial"/>
          <w:sz w:val="22"/>
          <w:szCs w:val="22"/>
        </w:rPr>
        <w:t xml:space="preserve"> the Open Contracting for Infrastructure Data Standard (OC4IDS) format.</w:t>
      </w:r>
    </w:p>
    <w:p w14:paraId="722430B2" w14:textId="63E1EEC9" w:rsidR="002033A5" w:rsidRPr="00E619C8" w:rsidRDefault="000120A0">
      <w:pPr>
        <w:numPr>
          <w:ilvl w:val="0"/>
          <w:numId w:val="23"/>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Independent data review that highlights the accuracy and completeness of the disclosed data and turns it into compelling information that helps communicate issues of concern and areas of good practice.</w:t>
      </w:r>
    </w:p>
    <w:p w14:paraId="716D0DA7" w14:textId="77777777" w:rsidR="002033A5" w:rsidRPr="00E619C8" w:rsidRDefault="00E113EC">
      <w:pPr>
        <w:numPr>
          <w:ilvl w:val="0"/>
          <w:numId w:val="23"/>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Multi-stakeholder working brings together government, the private sector and civil society in a concerted effort to pursue the common goal of improving transparency, accountability and ultimately performance in the preparation for and provision of public infrastructure. This is typically achieved through a multi-stakeholder group where each stakeholder has an equal voice in leading a CoST programme.</w:t>
      </w:r>
    </w:p>
    <w:p w14:paraId="7FB1BC92" w14:textId="77777777" w:rsidR="002033A5" w:rsidRPr="00E619C8" w:rsidRDefault="00E113EC">
      <w:pPr>
        <w:numPr>
          <w:ilvl w:val="0"/>
          <w:numId w:val="23"/>
        </w:num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Social accountability refers to efforts made to ensure that the disclosed data and assurance reports are taken up and used by stakeholders – including civil society, the private sector and government oversight bodies – to strengthen existing accountability mechanisms and prompt appropriate correction action, not only in relation to specific projects but also more broadly in the sector.</w:t>
      </w:r>
    </w:p>
    <w:p w14:paraId="06DB30AA" w14:textId="76875A0E" w:rsidR="000120A0" w:rsidRPr="00E619C8" w:rsidRDefault="000120A0" w:rsidP="006D42DF">
      <w:pPr>
        <w:pStyle w:val="Heading3"/>
        <w:spacing w:before="240" w:after="240"/>
        <w:rPr>
          <w:rFonts w:ascii="Arial" w:hAnsi="Arial" w:cs="Arial"/>
          <w:b/>
          <w:bCs/>
          <w:color w:val="C00000"/>
        </w:rPr>
      </w:pPr>
      <w:bookmarkStart w:id="4" w:name="_Toc227235246"/>
      <w:r w:rsidRPr="00E619C8">
        <w:rPr>
          <w:rFonts w:ascii="Arial" w:hAnsi="Arial" w:cs="Arial"/>
          <w:b/>
          <w:bCs/>
          <w:color w:val="C00000"/>
        </w:rPr>
        <w:t>1.1.</w:t>
      </w:r>
      <w:r w:rsidR="009F58A5" w:rsidRPr="00E619C8">
        <w:rPr>
          <w:rFonts w:ascii="Arial" w:hAnsi="Arial" w:cs="Arial"/>
          <w:b/>
          <w:bCs/>
          <w:color w:val="C00000"/>
        </w:rPr>
        <w:t>1</w:t>
      </w:r>
      <w:r w:rsidR="006D42DF" w:rsidRPr="00E619C8">
        <w:rPr>
          <w:rFonts w:ascii="Arial" w:hAnsi="Arial" w:cs="Arial"/>
          <w:b/>
          <w:bCs/>
          <w:color w:val="C00000"/>
        </w:rPr>
        <w:t xml:space="preserve"> About CoST NTB</w:t>
      </w:r>
      <w:bookmarkEnd w:id="4"/>
    </w:p>
    <w:p w14:paraId="33104932" w14:textId="089B452D" w:rsidR="00B47E7D" w:rsidRPr="00E619C8" w:rsidRDefault="00B47E7D" w:rsidP="00B47E7D">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West Nusa Tenggara Province (NTB) joined CoST in early 2024, becoming one of the sub-national programmes committed to strengthening transparency, accountability, and participation in public infrastructure governance. The initiative was introduced as part of the province’s broader effort to improve infrastructure management practices and align them with international transparency standards promoted by CoST.</w:t>
      </w:r>
    </w:p>
    <w:p w14:paraId="09BF5198" w14:textId="3166954D" w:rsidR="00B47E7D" w:rsidRPr="00E619C8" w:rsidRDefault="00B47E7D" w:rsidP="00B47E7D">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Following its participation in the CoST programme, the Provincial Government </w:t>
      </w:r>
      <w:r w:rsidR="00F656A7">
        <w:rPr>
          <w:rFonts w:ascii="Arial" w:eastAsia="Arial" w:hAnsi="Arial" w:cs="Arial"/>
          <w:sz w:val="22"/>
          <w:szCs w:val="22"/>
        </w:rPr>
        <w:t>took</w:t>
      </w:r>
      <w:r w:rsidRPr="00E619C8">
        <w:rPr>
          <w:rFonts w:ascii="Arial" w:eastAsia="Arial" w:hAnsi="Arial" w:cs="Arial"/>
          <w:sz w:val="22"/>
          <w:szCs w:val="22"/>
        </w:rPr>
        <w:t xml:space="preserve"> several preparatory steps to support the implementation of the initiative. These included the </w:t>
      </w:r>
      <w:r w:rsidR="00F656A7">
        <w:rPr>
          <w:rFonts w:ascii="Arial" w:eastAsia="Arial" w:hAnsi="Arial" w:cs="Arial"/>
          <w:sz w:val="22"/>
          <w:szCs w:val="22"/>
        </w:rPr>
        <w:t xml:space="preserve">issuance of a provincial decree to support </w:t>
      </w:r>
      <w:r w:rsidR="00A4188C">
        <w:rPr>
          <w:rFonts w:ascii="Arial" w:eastAsia="Arial" w:hAnsi="Arial" w:cs="Arial"/>
          <w:sz w:val="22"/>
          <w:szCs w:val="22"/>
        </w:rPr>
        <w:t>the disclosure of infrastructure data</w:t>
      </w:r>
      <w:r w:rsidR="00F656A7">
        <w:rPr>
          <w:rFonts w:ascii="Arial" w:eastAsia="Arial" w:hAnsi="Arial" w:cs="Arial"/>
          <w:sz w:val="22"/>
          <w:szCs w:val="22"/>
        </w:rPr>
        <w:t xml:space="preserve">, the development of the INTRAS platform to facilitate </w:t>
      </w:r>
      <w:r w:rsidR="00212ABA">
        <w:rPr>
          <w:rFonts w:ascii="Arial" w:eastAsia="Arial" w:hAnsi="Arial" w:cs="Arial"/>
          <w:sz w:val="22"/>
          <w:szCs w:val="22"/>
        </w:rPr>
        <w:t>the publication of infrastructure data</w:t>
      </w:r>
      <w:r w:rsidR="00F656A7">
        <w:rPr>
          <w:rFonts w:ascii="Arial" w:eastAsia="Arial" w:hAnsi="Arial" w:cs="Arial"/>
          <w:sz w:val="22"/>
          <w:szCs w:val="22"/>
        </w:rPr>
        <w:t>, and a series of capacity-building activities to strengthen</w:t>
      </w:r>
      <w:r w:rsidRPr="00E619C8">
        <w:rPr>
          <w:rFonts w:ascii="Arial" w:eastAsia="Arial" w:hAnsi="Arial" w:cs="Arial"/>
          <w:sz w:val="22"/>
          <w:szCs w:val="22"/>
        </w:rPr>
        <w:t xml:space="preserve"> understanding of the CoST Infrastructure Data Standard (CoST IDS) among relevant stakeholders.</w:t>
      </w:r>
    </w:p>
    <w:p w14:paraId="0EA93AAB" w14:textId="31378D69" w:rsidR="00B47E7D" w:rsidRPr="00E619C8" w:rsidRDefault="00B47E7D" w:rsidP="00B47E7D">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The CoST NTB </w:t>
      </w:r>
      <w:r w:rsidR="00305E7F" w:rsidRPr="00E619C8">
        <w:rPr>
          <w:rFonts w:ascii="Arial" w:eastAsia="Arial" w:hAnsi="Arial" w:cs="Arial"/>
          <w:sz w:val="22"/>
          <w:szCs w:val="22"/>
        </w:rPr>
        <w:t xml:space="preserve">programme </w:t>
      </w:r>
      <w:r w:rsidRPr="00E619C8">
        <w:rPr>
          <w:rFonts w:ascii="Arial" w:eastAsia="Arial" w:hAnsi="Arial" w:cs="Arial"/>
          <w:sz w:val="22"/>
          <w:szCs w:val="22"/>
        </w:rPr>
        <w:t>is guided by a Multi-Stakeholder Group (MSG) composed of representatives from the provincial government, civil society organisations, and the private sector. The MSG serves as the main coordination and decision-making platform for the programme, ensuring that transparency initiatives are implemented collaboratively and that different stakeholder perspectives are considered.</w:t>
      </w:r>
    </w:p>
    <w:p w14:paraId="6C73B541" w14:textId="3B38C3BF" w:rsidR="00DD1406" w:rsidRPr="00E619C8" w:rsidRDefault="00B47E7D">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As part of the programme’s early implementation phase, NTB also conducted data </w:t>
      </w:r>
      <w:r w:rsidR="00D231F1" w:rsidRPr="00E619C8">
        <w:rPr>
          <w:rFonts w:ascii="Arial" w:eastAsia="Arial" w:hAnsi="Arial" w:cs="Arial"/>
          <w:sz w:val="22"/>
          <w:szCs w:val="22"/>
        </w:rPr>
        <w:t xml:space="preserve">publication </w:t>
      </w:r>
      <w:r w:rsidRPr="00E619C8">
        <w:rPr>
          <w:rFonts w:ascii="Arial" w:eastAsia="Arial" w:hAnsi="Arial" w:cs="Arial"/>
          <w:sz w:val="22"/>
          <w:szCs w:val="22"/>
        </w:rPr>
        <w:t xml:space="preserve">exercises and participated in technical workshops and training sessions facilitated by CoST International. These activities supported the preparation and implementation of the Infrastructure Transparency Index (ITI) assessment, </w:t>
      </w:r>
      <w:r w:rsidR="00F656A7">
        <w:rPr>
          <w:rFonts w:ascii="Arial" w:eastAsia="Arial" w:hAnsi="Arial" w:cs="Arial"/>
          <w:sz w:val="22"/>
          <w:szCs w:val="22"/>
        </w:rPr>
        <w:t>conducted</w:t>
      </w:r>
      <w:r w:rsidRPr="00E619C8">
        <w:rPr>
          <w:rFonts w:ascii="Arial" w:eastAsia="Arial" w:hAnsi="Arial" w:cs="Arial"/>
          <w:sz w:val="22"/>
          <w:szCs w:val="22"/>
        </w:rPr>
        <w:t xml:space="preserve"> between 2025 and 2026 to evaluate the province’s performance in infrastructure transparency, participation, and accountability.</w:t>
      </w:r>
      <w:r w:rsidRPr="00E619C8" w:rsidDel="00B47E7D">
        <w:rPr>
          <w:rFonts w:ascii="Arial" w:eastAsia="Arial" w:hAnsi="Arial" w:cs="Arial"/>
          <w:sz w:val="22"/>
          <w:szCs w:val="22"/>
          <w:highlight w:val="yellow"/>
        </w:rPr>
        <w:t xml:space="preserve"> </w:t>
      </w:r>
    </w:p>
    <w:p w14:paraId="2884B3CC" w14:textId="08FC55F4" w:rsidR="002033A5" w:rsidRPr="00E619C8" w:rsidRDefault="00E113EC" w:rsidP="006D42DF">
      <w:pPr>
        <w:pStyle w:val="Heading2"/>
        <w:pBdr>
          <w:top w:val="nil"/>
          <w:left w:val="nil"/>
          <w:bottom w:val="nil"/>
          <w:right w:val="nil"/>
          <w:between w:val="nil"/>
        </w:pBdr>
        <w:spacing w:before="320" w:after="160" w:line="276" w:lineRule="auto"/>
        <w:jc w:val="both"/>
        <w:rPr>
          <w:rFonts w:ascii="Arial" w:eastAsia="Arial" w:hAnsi="Arial" w:cs="Arial"/>
          <w:b/>
          <w:bCs/>
          <w:color w:val="C00000"/>
          <w:sz w:val="28"/>
          <w:szCs w:val="28"/>
        </w:rPr>
      </w:pPr>
      <w:bookmarkStart w:id="5" w:name="_Toc227235247"/>
      <w:r w:rsidRPr="00E619C8">
        <w:rPr>
          <w:rFonts w:ascii="Arial" w:eastAsia="Arial" w:hAnsi="Arial" w:cs="Arial"/>
          <w:b/>
          <w:bCs/>
          <w:color w:val="C00000"/>
          <w:sz w:val="28"/>
          <w:szCs w:val="28"/>
        </w:rPr>
        <w:t>1.</w:t>
      </w:r>
      <w:r w:rsidR="000120A0" w:rsidRPr="00E619C8">
        <w:rPr>
          <w:rFonts w:ascii="Arial" w:eastAsia="Arial" w:hAnsi="Arial" w:cs="Arial"/>
          <w:b/>
          <w:bCs/>
          <w:color w:val="C00000"/>
          <w:sz w:val="28"/>
          <w:szCs w:val="28"/>
        </w:rPr>
        <w:t>2</w:t>
      </w:r>
      <w:r w:rsidRPr="00E619C8">
        <w:rPr>
          <w:rFonts w:ascii="Arial" w:eastAsia="Arial" w:hAnsi="Arial" w:cs="Arial"/>
          <w:b/>
          <w:bCs/>
          <w:color w:val="C00000"/>
          <w:sz w:val="28"/>
          <w:szCs w:val="28"/>
        </w:rPr>
        <w:t xml:space="preserve"> Concept</w:t>
      </w:r>
      <w:bookmarkEnd w:id="5"/>
    </w:p>
    <w:p w14:paraId="7F2F06C2" w14:textId="57E83448" w:rsidR="006D42DF" w:rsidRPr="00E619C8" w:rsidRDefault="006D42DF">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CoST − the Infrastructure Transparency Initiative - works with government, the private sector and civil society to improve transparency, participation and accountability in public infrastructure investment. It achieves this by </w:t>
      </w:r>
      <w:r w:rsidR="00F913E9" w:rsidRPr="00E619C8">
        <w:rPr>
          <w:rFonts w:ascii="Arial" w:eastAsia="Arial" w:hAnsi="Arial" w:cs="Arial"/>
          <w:sz w:val="22"/>
          <w:szCs w:val="22"/>
        </w:rPr>
        <w:t>publishing</w:t>
      </w:r>
      <w:r w:rsidRPr="00E619C8">
        <w:rPr>
          <w:rFonts w:ascii="Arial" w:eastAsia="Arial" w:hAnsi="Arial" w:cs="Arial"/>
          <w:sz w:val="22"/>
          <w:szCs w:val="22"/>
        </w:rPr>
        <w:t xml:space="preserve">, validating and using infrastructure data at each stage of the infrastructure project cycle. CoST’s experience indicates that this provides the evidence and process to </w:t>
      </w:r>
      <w:r w:rsidR="00F656A7">
        <w:rPr>
          <w:rFonts w:ascii="Arial" w:eastAsia="Arial" w:hAnsi="Arial" w:cs="Arial"/>
          <w:sz w:val="22"/>
          <w:szCs w:val="22"/>
        </w:rPr>
        <w:t>drive reforms that reduce mismanagement, inefficiency, and corruption, thereby improving</w:t>
      </w:r>
      <w:r w:rsidRPr="00E619C8">
        <w:rPr>
          <w:rFonts w:ascii="Arial" w:eastAsia="Arial" w:hAnsi="Arial" w:cs="Arial"/>
          <w:sz w:val="22"/>
          <w:szCs w:val="22"/>
        </w:rPr>
        <w:t xml:space="preserve"> </w:t>
      </w:r>
      <w:r w:rsidR="00212ABA">
        <w:rPr>
          <w:rFonts w:ascii="Arial" w:eastAsia="Arial" w:hAnsi="Arial" w:cs="Arial"/>
          <w:sz w:val="22"/>
          <w:szCs w:val="22"/>
        </w:rPr>
        <w:t>sector performance</w:t>
      </w:r>
      <w:r w:rsidRPr="00E619C8">
        <w:rPr>
          <w:rFonts w:ascii="Arial" w:eastAsia="Arial" w:hAnsi="Arial" w:cs="Arial"/>
          <w:sz w:val="22"/>
          <w:szCs w:val="22"/>
        </w:rPr>
        <w:t>. Applying this approach results in cost savings, helping to close the infrastructure financing gap. It also helps deliver better quality infrastructure for millions of people.</w:t>
      </w:r>
    </w:p>
    <w:p w14:paraId="05F2629E" w14:textId="36EEF972"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CoST has developed the Infrastructure Transparency Index (ITI) to evaluate</w:t>
      </w:r>
      <w:r w:rsidR="00F656A7">
        <w:rPr>
          <w:rFonts w:ascii="Arial" w:eastAsia="Arial" w:hAnsi="Arial" w:cs="Arial"/>
          <w:sz w:val="22"/>
          <w:szCs w:val="22"/>
        </w:rPr>
        <w:t xml:space="preserve"> and monitor over time</w:t>
      </w:r>
      <w:r w:rsidRPr="00E619C8">
        <w:rPr>
          <w:rFonts w:ascii="Arial" w:eastAsia="Arial" w:hAnsi="Arial" w:cs="Arial"/>
          <w:sz w:val="22"/>
          <w:szCs w:val="22"/>
        </w:rPr>
        <w:t xml:space="preserve"> levels of infrastructure transparency and the quality of the associated processes that improve participation and accountability. It helps stakeholders from government, the private sector and civil society understand the relative strengths and weaknesses of transparency, participation and accountability mechanisms within the sector. As set out in this manual, the ITI instrument is used to derive the metric </w:t>
      </w:r>
      <w:r w:rsidR="00F656A7">
        <w:rPr>
          <w:rFonts w:ascii="Arial" w:eastAsia="Arial" w:hAnsi="Arial" w:cs="Arial"/>
          <w:sz w:val="22"/>
          <w:szCs w:val="22"/>
        </w:rPr>
        <w:t xml:space="preserve">and has been designed </w:t>
      </w:r>
      <w:r w:rsidR="00212ABA">
        <w:rPr>
          <w:rFonts w:ascii="Arial" w:eastAsia="Arial" w:hAnsi="Arial" w:cs="Arial"/>
          <w:sz w:val="22"/>
          <w:szCs w:val="22"/>
        </w:rPr>
        <w:t>collaboratively</w:t>
      </w:r>
      <w:r w:rsidR="00F656A7">
        <w:rPr>
          <w:rFonts w:ascii="Arial" w:eastAsia="Arial" w:hAnsi="Arial" w:cs="Arial"/>
          <w:sz w:val="22"/>
          <w:szCs w:val="22"/>
        </w:rPr>
        <w:t>,</w:t>
      </w:r>
      <w:r w:rsidRPr="00E619C8">
        <w:rPr>
          <w:rFonts w:ascii="Arial" w:eastAsia="Arial" w:hAnsi="Arial" w:cs="Arial"/>
          <w:sz w:val="22"/>
          <w:szCs w:val="22"/>
        </w:rPr>
        <w:t xml:space="preserve"> based on international good practice and lessons learned.</w:t>
      </w:r>
    </w:p>
    <w:p w14:paraId="3EBE0225" w14:textId="591EC836"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This manual provides a methodology for calculating an ITI score for evaluated procuring entities, whether in a national or sub-national context. The individual scores are then used to rank the evaluated procuring entities. ITI scores are based on a combination of the enabling conditions for strengthening transparency in the sector and the transparency-related practices applied </w:t>
      </w:r>
      <w:r w:rsidR="00F656A7">
        <w:rPr>
          <w:rFonts w:ascii="Arial" w:eastAsia="Arial" w:hAnsi="Arial" w:cs="Arial"/>
          <w:sz w:val="22"/>
          <w:szCs w:val="22"/>
        </w:rPr>
        <w:t>to</w:t>
      </w:r>
      <w:r w:rsidRPr="00E619C8">
        <w:rPr>
          <w:rFonts w:ascii="Arial" w:eastAsia="Arial" w:hAnsi="Arial" w:cs="Arial"/>
          <w:sz w:val="22"/>
          <w:szCs w:val="22"/>
        </w:rPr>
        <w:t xml:space="preserve"> recently completed infrastructure projects (see Annex 6 for ITI terminology). In its design, the manual interprets transparency in a broad and practical sense, not only by looking at it through the traditional lens of access to information, but also by considering associated enablers and capacities. These include citizen participation that </w:t>
      </w:r>
      <w:r w:rsidR="00F656A7">
        <w:rPr>
          <w:rFonts w:ascii="Arial" w:eastAsia="Arial" w:hAnsi="Arial" w:cs="Arial"/>
          <w:sz w:val="22"/>
          <w:szCs w:val="22"/>
        </w:rPr>
        <w:t>creates</w:t>
      </w:r>
      <w:r w:rsidRPr="00E619C8">
        <w:rPr>
          <w:rFonts w:ascii="Arial" w:eastAsia="Arial" w:hAnsi="Arial" w:cs="Arial"/>
          <w:sz w:val="22"/>
          <w:szCs w:val="22"/>
        </w:rPr>
        <w:t xml:space="preserve"> public value through access to information.</w:t>
      </w:r>
    </w:p>
    <w:p w14:paraId="1A650881" w14:textId="77777777"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The final ITI score (whether a national ITI score or a sub-National ITI score</w:t>
      </w:r>
      <w:r w:rsidRPr="00E619C8">
        <w:rPr>
          <w:rFonts w:ascii="Arial" w:eastAsia="Arial" w:hAnsi="Arial" w:cs="Arial"/>
          <w:sz w:val="22"/>
          <w:szCs w:val="22"/>
          <w:vertAlign w:val="superscript"/>
        </w:rPr>
        <w:footnoteReference w:id="1"/>
      </w:r>
      <w:r w:rsidRPr="00E619C8">
        <w:rPr>
          <w:rFonts w:ascii="Arial" w:eastAsia="Arial" w:hAnsi="Arial" w:cs="Arial"/>
          <w:sz w:val="22"/>
          <w:szCs w:val="22"/>
        </w:rPr>
        <w:t>) is obtained from the weighted sum of four constituent ITI dimensions, namely:</w:t>
      </w:r>
    </w:p>
    <w:p w14:paraId="31040625" w14:textId="77777777" w:rsidR="002033A5" w:rsidRPr="00E619C8" w:rsidRDefault="00E113EC">
      <w:pPr>
        <w:numPr>
          <w:ilvl w:val="0"/>
          <w:numId w:val="25"/>
        </w:numPr>
        <w:pBdr>
          <w:top w:val="nil"/>
          <w:left w:val="nil"/>
          <w:bottom w:val="nil"/>
          <w:right w:val="nil"/>
          <w:between w:val="nil"/>
        </w:pBdr>
        <w:spacing w:line="276" w:lineRule="auto"/>
        <w:jc w:val="both"/>
        <w:rPr>
          <w:rFonts w:ascii="Arial" w:eastAsia="Arial" w:hAnsi="Arial" w:cs="Arial"/>
          <w:sz w:val="22"/>
          <w:szCs w:val="22"/>
        </w:rPr>
      </w:pPr>
      <w:r w:rsidRPr="00E619C8">
        <w:rPr>
          <w:rFonts w:ascii="Arial" w:eastAsia="Arial" w:hAnsi="Arial" w:cs="Arial"/>
          <w:sz w:val="22"/>
          <w:szCs w:val="22"/>
        </w:rPr>
        <w:t xml:space="preserve">enabling environment; </w:t>
      </w:r>
    </w:p>
    <w:p w14:paraId="026C85A6" w14:textId="77777777" w:rsidR="002033A5" w:rsidRPr="00E619C8" w:rsidRDefault="00E113EC">
      <w:pPr>
        <w:numPr>
          <w:ilvl w:val="0"/>
          <w:numId w:val="25"/>
        </w:numPr>
        <w:pBdr>
          <w:top w:val="nil"/>
          <w:left w:val="nil"/>
          <w:bottom w:val="nil"/>
          <w:right w:val="nil"/>
          <w:between w:val="nil"/>
        </w:pBdr>
        <w:spacing w:line="276" w:lineRule="auto"/>
        <w:jc w:val="both"/>
        <w:rPr>
          <w:rFonts w:ascii="Arial" w:eastAsia="Arial" w:hAnsi="Arial" w:cs="Arial"/>
          <w:sz w:val="22"/>
          <w:szCs w:val="22"/>
        </w:rPr>
      </w:pPr>
      <w:r w:rsidRPr="00E619C8">
        <w:rPr>
          <w:rFonts w:ascii="Arial" w:eastAsia="Arial" w:hAnsi="Arial" w:cs="Arial"/>
          <w:sz w:val="22"/>
          <w:szCs w:val="22"/>
        </w:rPr>
        <w:t xml:space="preserve">capacities and processes; </w:t>
      </w:r>
    </w:p>
    <w:p w14:paraId="184FDA5E" w14:textId="77777777" w:rsidR="002033A5" w:rsidRPr="00E619C8" w:rsidRDefault="00E113EC">
      <w:pPr>
        <w:numPr>
          <w:ilvl w:val="0"/>
          <w:numId w:val="25"/>
        </w:numPr>
        <w:pBdr>
          <w:top w:val="nil"/>
          <w:left w:val="nil"/>
          <w:bottom w:val="nil"/>
          <w:right w:val="nil"/>
          <w:between w:val="nil"/>
        </w:pBdr>
        <w:spacing w:line="276" w:lineRule="auto"/>
        <w:jc w:val="both"/>
        <w:rPr>
          <w:rFonts w:ascii="Arial" w:eastAsia="Arial" w:hAnsi="Arial" w:cs="Arial"/>
          <w:sz w:val="22"/>
          <w:szCs w:val="22"/>
        </w:rPr>
      </w:pPr>
      <w:r w:rsidRPr="00E619C8">
        <w:rPr>
          <w:rFonts w:ascii="Arial" w:eastAsia="Arial" w:hAnsi="Arial" w:cs="Arial"/>
          <w:sz w:val="22"/>
          <w:szCs w:val="22"/>
        </w:rPr>
        <w:t>citizen participation; and</w:t>
      </w:r>
    </w:p>
    <w:p w14:paraId="4A79104E" w14:textId="77777777" w:rsidR="002033A5" w:rsidRPr="00E619C8" w:rsidRDefault="00E113EC">
      <w:pPr>
        <w:numPr>
          <w:ilvl w:val="0"/>
          <w:numId w:val="25"/>
        </w:numPr>
        <w:pBdr>
          <w:top w:val="nil"/>
          <w:left w:val="nil"/>
          <w:bottom w:val="nil"/>
          <w:right w:val="nil"/>
          <w:between w:val="nil"/>
        </w:pBdr>
        <w:spacing w:after="160" w:line="276" w:lineRule="auto"/>
        <w:jc w:val="both"/>
        <w:rPr>
          <w:rFonts w:ascii="Arial" w:eastAsia="Arial" w:hAnsi="Arial" w:cs="Arial"/>
          <w:sz w:val="22"/>
          <w:szCs w:val="22"/>
        </w:rPr>
      </w:pPr>
      <w:r w:rsidRPr="00E619C8">
        <w:rPr>
          <w:rFonts w:ascii="Arial" w:eastAsia="Arial" w:hAnsi="Arial" w:cs="Arial"/>
          <w:sz w:val="22"/>
          <w:szCs w:val="22"/>
        </w:rPr>
        <w:t>information</w:t>
      </w:r>
      <w:r w:rsidRPr="00E619C8">
        <w:rPr>
          <w:rFonts w:ascii="Arial" w:eastAsia="Arial" w:hAnsi="Arial" w:cs="Arial"/>
          <w:sz w:val="22"/>
          <w:szCs w:val="22"/>
          <w:vertAlign w:val="superscript"/>
        </w:rPr>
        <w:footnoteReference w:id="2"/>
      </w:r>
      <w:r w:rsidRPr="00E619C8">
        <w:rPr>
          <w:rFonts w:ascii="Arial" w:eastAsia="Arial" w:hAnsi="Arial" w:cs="Arial"/>
          <w:sz w:val="22"/>
          <w:szCs w:val="22"/>
        </w:rPr>
        <w:t xml:space="preserve"> disclosure.</w:t>
      </w:r>
    </w:p>
    <w:p w14:paraId="21736E1C" w14:textId="3D9B7C3A"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Although the ITI was designed to help CoST members evaluate and strengthen their programmes, other interested parties can also use it </w:t>
      </w:r>
      <w:r w:rsidR="00723E89">
        <w:rPr>
          <w:rFonts w:ascii="Arial" w:eastAsia="Arial" w:hAnsi="Arial" w:cs="Arial"/>
          <w:sz w:val="22"/>
          <w:szCs w:val="22"/>
        </w:rPr>
        <w:t>to understand better</w:t>
      </w:r>
      <w:r w:rsidR="008073F2">
        <w:rPr>
          <w:rFonts w:ascii="Arial" w:eastAsia="Arial" w:hAnsi="Arial" w:cs="Arial"/>
          <w:sz w:val="22"/>
          <w:szCs w:val="22"/>
        </w:rPr>
        <w:t xml:space="preserve"> and, hence,</w:t>
      </w:r>
      <w:r w:rsidR="00A4188C">
        <w:rPr>
          <w:rFonts w:ascii="Arial" w:eastAsia="Arial" w:hAnsi="Arial" w:cs="Arial"/>
          <w:sz w:val="22"/>
          <w:szCs w:val="22"/>
        </w:rPr>
        <w:t xml:space="preserve"> strengthen</w:t>
      </w:r>
      <w:r w:rsidRPr="00E619C8">
        <w:rPr>
          <w:rFonts w:ascii="Arial" w:eastAsia="Arial" w:hAnsi="Arial" w:cs="Arial"/>
          <w:sz w:val="22"/>
          <w:szCs w:val="22"/>
        </w:rPr>
        <w:t xml:space="preserve"> their institutions.</w:t>
      </w:r>
    </w:p>
    <w:p w14:paraId="6453DF9E" w14:textId="22F7C420" w:rsidR="002033A5" w:rsidRPr="00E619C8" w:rsidRDefault="00E113EC">
      <w:pPr>
        <w:pStyle w:val="Heading2"/>
        <w:pBdr>
          <w:top w:val="nil"/>
          <w:left w:val="nil"/>
          <w:bottom w:val="nil"/>
          <w:right w:val="nil"/>
          <w:between w:val="nil"/>
        </w:pBdr>
        <w:spacing w:before="320" w:after="160" w:line="276" w:lineRule="auto"/>
        <w:jc w:val="both"/>
        <w:rPr>
          <w:rFonts w:ascii="Arial" w:eastAsia="Arial" w:hAnsi="Arial" w:cs="Arial"/>
          <w:sz w:val="22"/>
          <w:szCs w:val="22"/>
        </w:rPr>
      </w:pPr>
      <w:bookmarkStart w:id="6" w:name="_Toc227235248"/>
      <w:r w:rsidRPr="00E619C8">
        <w:rPr>
          <w:rFonts w:ascii="Arial" w:eastAsia="Arial" w:hAnsi="Arial" w:cs="Arial"/>
          <w:b/>
          <w:bCs/>
          <w:color w:val="C00000"/>
          <w:sz w:val="28"/>
          <w:szCs w:val="28"/>
        </w:rPr>
        <w:t>1.</w:t>
      </w:r>
      <w:r w:rsidR="003135B4" w:rsidRPr="00E619C8">
        <w:rPr>
          <w:rFonts w:ascii="Arial" w:eastAsia="Arial" w:hAnsi="Arial" w:cs="Arial"/>
          <w:b/>
          <w:bCs/>
          <w:color w:val="C00000"/>
          <w:sz w:val="28"/>
          <w:szCs w:val="28"/>
        </w:rPr>
        <w:t>3</w:t>
      </w:r>
      <w:r w:rsidRPr="00E619C8">
        <w:rPr>
          <w:rFonts w:ascii="Arial" w:eastAsia="Arial" w:hAnsi="Arial" w:cs="Arial"/>
          <w:b/>
          <w:bCs/>
          <w:color w:val="C00000"/>
          <w:sz w:val="28"/>
          <w:szCs w:val="28"/>
        </w:rPr>
        <w:t xml:space="preserve"> Objectives</w:t>
      </w:r>
      <w:bookmarkEnd w:id="6"/>
      <w:r w:rsidRPr="00E619C8">
        <w:rPr>
          <w:rFonts w:ascii="Arial" w:eastAsia="Arial" w:hAnsi="Arial" w:cs="Arial"/>
          <w:sz w:val="22"/>
          <w:szCs w:val="22"/>
        </w:rPr>
        <w:t xml:space="preserve"> </w:t>
      </w:r>
    </w:p>
    <w:p w14:paraId="00B69A20" w14:textId="414EC1D1" w:rsidR="002033A5" w:rsidRPr="00E619C8" w:rsidRDefault="00617EC3">
      <w:pPr>
        <w:pBdr>
          <w:top w:val="nil"/>
          <w:left w:val="nil"/>
          <w:bottom w:val="nil"/>
          <w:right w:val="nil"/>
          <w:between w:val="nil"/>
        </w:pBdr>
        <w:spacing w:after="160" w:line="300" w:lineRule="auto"/>
        <w:jc w:val="both"/>
        <w:rPr>
          <w:rFonts w:ascii="Arial" w:eastAsia="Arial" w:hAnsi="Arial" w:cs="Arial"/>
          <w:sz w:val="22"/>
          <w:szCs w:val="22"/>
        </w:rPr>
      </w:pPr>
      <w:r>
        <w:rPr>
          <w:rFonts w:ascii="Arial" w:eastAsia="Arial" w:hAnsi="Arial" w:cs="Arial"/>
          <w:sz w:val="22"/>
          <w:szCs w:val="22"/>
        </w:rPr>
        <w:t>The ITI aims</w:t>
      </w:r>
      <w:r w:rsidR="00E113EC" w:rsidRPr="00E619C8">
        <w:rPr>
          <w:rFonts w:ascii="Arial" w:eastAsia="Arial" w:hAnsi="Arial" w:cs="Arial"/>
          <w:sz w:val="22"/>
          <w:szCs w:val="22"/>
        </w:rPr>
        <w:t xml:space="preserve"> to enable the level of transparency and accountability in public infrastructure to be </w:t>
      </w:r>
      <w:r w:rsidR="002C7F6B" w:rsidRPr="00E619C8">
        <w:rPr>
          <w:rFonts w:ascii="Arial" w:eastAsia="Arial" w:hAnsi="Arial" w:cs="Arial"/>
          <w:sz w:val="22"/>
          <w:szCs w:val="22"/>
        </w:rPr>
        <w:t>assessed and</w:t>
      </w:r>
      <w:r w:rsidR="00E113EC" w:rsidRPr="00E619C8">
        <w:rPr>
          <w:rFonts w:ascii="Arial" w:eastAsia="Arial" w:hAnsi="Arial" w:cs="Arial"/>
          <w:sz w:val="22"/>
          <w:szCs w:val="22"/>
        </w:rPr>
        <w:t xml:space="preserve"> monitored over time. The objectives are as follows:</w:t>
      </w:r>
    </w:p>
    <w:p w14:paraId="78437C69" w14:textId="40EF6B1C" w:rsidR="002033A5" w:rsidRPr="00E619C8" w:rsidRDefault="002C7F6B">
      <w:pPr>
        <w:numPr>
          <w:ilvl w:val="0"/>
          <w:numId w:val="19"/>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To provide a measure of the state of infrastructure transparency and the capacity to improve transparency among procuring entities.</w:t>
      </w:r>
    </w:p>
    <w:p w14:paraId="5008D097" w14:textId="474607CE" w:rsidR="002033A5" w:rsidRPr="00E619C8" w:rsidRDefault="002C7F6B">
      <w:pPr>
        <w:numPr>
          <w:ilvl w:val="0"/>
          <w:numId w:val="19"/>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To track and encourage progress and facilitate peer learning, while helping to hold procuring entities to account.</w:t>
      </w:r>
    </w:p>
    <w:p w14:paraId="7D370D3D" w14:textId="5B004430" w:rsidR="002033A5" w:rsidRPr="00E619C8" w:rsidRDefault="002C7F6B">
      <w:pPr>
        <w:numPr>
          <w:ilvl w:val="0"/>
          <w:numId w:val="19"/>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To raise awareness of transparency at the national and international level, building on existing data standards such as the CoST IDS and the OC4IDS.</w:t>
      </w:r>
    </w:p>
    <w:p w14:paraId="4403DBF0" w14:textId="4FD4B126" w:rsidR="002033A5" w:rsidRPr="00E619C8" w:rsidRDefault="002C7F6B">
      <w:pPr>
        <w:numPr>
          <w:ilvl w:val="0"/>
          <w:numId w:val="19"/>
        </w:num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To allow consistent country comparisons at the international level to facilitate peer learning and the identification of common international strengths and weaknesses.</w:t>
      </w:r>
    </w:p>
    <w:p w14:paraId="63196CEA" w14:textId="338A6734"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The ITI </w:t>
      </w:r>
      <w:r w:rsidR="006D42DF" w:rsidRPr="00E619C8">
        <w:rPr>
          <w:rFonts w:ascii="Arial" w:eastAsia="Arial" w:hAnsi="Arial" w:cs="Arial"/>
          <w:sz w:val="22"/>
          <w:szCs w:val="22"/>
        </w:rPr>
        <w:t xml:space="preserve">calculates a </w:t>
      </w:r>
      <w:r w:rsidRPr="00E619C8">
        <w:rPr>
          <w:rFonts w:ascii="Arial" w:eastAsia="Arial" w:hAnsi="Arial" w:cs="Arial"/>
          <w:sz w:val="22"/>
          <w:szCs w:val="22"/>
        </w:rPr>
        <w:t xml:space="preserve">score on a scale of zero to one hundred (0-100) for a country’s national or sub-national public infrastructure, as well as individual Procuring Entity (PE) ITI scores for </w:t>
      </w:r>
      <w:r w:rsidR="006D42DF" w:rsidRPr="00E619C8">
        <w:rPr>
          <w:rFonts w:ascii="Arial" w:eastAsia="Arial" w:hAnsi="Arial" w:cs="Arial"/>
          <w:sz w:val="22"/>
          <w:szCs w:val="22"/>
        </w:rPr>
        <w:t xml:space="preserve">evaluated </w:t>
      </w:r>
      <w:r w:rsidRPr="00E619C8">
        <w:rPr>
          <w:rFonts w:ascii="Arial" w:eastAsia="Arial" w:hAnsi="Arial" w:cs="Arial"/>
          <w:sz w:val="22"/>
          <w:szCs w:val="22"/>
        </w:rPr>
        <w:t xml:space="preserve">PEs. The scores are based on a large number of unique indicators. These are independently evaluated to assess PE practices and the conditions that </w:t>
      </w:r>
      <w:r w:rsidR="00F656A7">
        <w:rPr>
          <w:rFonts w:ascii="Arial" w:eastAsia="Arial" w:hAnsi="Arial" w:cs="Arial"/>
          <w:sz w:val="22"/>
          <w:szCs w:val="22"/>
        </w:rPr>
        <w:t>promote</w:t>
      </w:r>
      <w:r w:rsidRPr="00E619C8">
        <w:rPr>
          <w:rFonts w:ascii="Arial" w:eastAsia="Arial" w:hAnsi="Arial" w:cs="Arial"/>
          <w:sz w:val="22"/>
          <w:szCs w:val="22"/>
        </w:rPr>
        <w:t xml:space="preserve"> transparency and accountability in the local infrastructure sector.</w:t>
      </w:r>
    </w:p>
    <w:p w14:paraId="617427F8" w14:textId="5DBDC67E"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The score is then published </w:t>
      </w:r>
      <w:r w:rsidR="00F656A7">
        <w:rPr>
          <w:rFonts w:ascii="Arial" w:eastAsia="Arial" w:hAnsi="Arial" w:cs="Arial"/>
          <w:sz w:val="22"/>
          <w:szCs w:val="22"/>
        </w:rPr>
        <w:t>as an index ranking</w:t>
      </w:r>
      <w:r w:rsidRPr="00E619C8">
        <w:rPr>
          <w:rFonts w:ascii="Arial" w:eastAsia="Arial" w:hAnsi="Arial" w:cs="Arial"/>
          <w:sz w:val="22"/>
          <w:szCs w:val="22"/>
        </w:rPr>
        <w:t xml:space="preserve"> procuring entities. The resulting highlighting and identification of shortcomings in existing practice can </w:t>
      </w:r>
      <w:r w:rsidR="00F656A7">
        <w:rPr>
          <w:rFonts w:ascii="Arial" w:eastAsia="Arial" w:hAnsi="Arial" w:cs="Arial"/>
          <w:sz w:val="22"/>
          <w:szCs w:val="22"/>
        </w:rPr>
        <w:t>inform the development of an action plan to</w:t>
      </w:r>
      <w:r w:rsidRPr="00E619C8">
        <w:rPr>
          <w:rFonts w:ascii="Arial" w:eastAsia="Arial" w:hAnsi="Arial" w:cs="Arial"/>
          <w:sz w:val="22"/>
          <w:szCs w:val="22"/>
        </w:rPr>
        <w:t xml:space="preserve"> raise transparency and accountability standards within the country or sector and improve ongoing infrastructure management practices.</w:t>
      </w:r>
    </w:p>
    <w:p w14:paraId="402E4290" w14:textId="4525FBF8"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The ITI results provide information that can guide public leaders, international </w:t>
      </w:r>
      <w:r w:rsidR="00F656A7">
        <w:rPr>
          <w:rFonts w:ascii="Arial" w:eastAsia="Arial" w:hAnsi="Arial" w:cs="Arial"/>
          <w:sz w:val="22"/>
          <w:szCs w:val="22"/>
        </w:rPr>
        <w:t>organisations</w:t>
      </w:r>
      <w:r w:rsidRPr="00E619C8">
        <w:rPr>
          <w:rFonts w:ascii="Arial" w:eastAsia="Arial" w:hAnsi="Arial" w:cs="Arial"/>
          <w:sz w:val="22"/>
          <w:szCs w:val="22"/>
        </w:rPr>
        <w:t>, procurement entities</w:t>
      </w:r>
      <w:r w:rsidR="00F656A7">
        <w:rPr>
          <w:rFonts w:ascii="Arial" w:eastAsia="Arial" w:hAnsi="Arial" w:cs="Arial"/>
          <w:sz w:val="22"/>
          <w:szCs w:val="22"/>
        </w:rPr>
        <w:t>, and others interested</w:t>
      </w:r>
      <w:r w:rsidRPr="00E619C8">
        <w:rPr>
          <w:rFonts w:ascii="Arial" w:eastAsia="Arial" w:hAnsi="Arial" w:cs="Arial"/>
          <w:sz w:val="22"/>
          <w:szCs w:val="22"/>
        </w:rPr>
        <w:t xml:space="preserve"> in strengthening infrastructure-related transparency and accountability. Follow-up ITI assessments should take place periodically and consistently, while allowing time for reforms to be introduced and take effect between evaluations.</w:t>
      </w:r>
    </w:p>
    <w:p w14:paraId="49BC769D" w14:textId="2C8D464E" w:rsidR="002033A5" w:rsidRPr="00E619C8" w:rsidRDefault="00E113EC">
      <w:pPr>
        <w:pStyle w:val="Heading2"/>
        <w:pBdr>
          <w:top w:val="nil"/>
          <w:left w:val="nil"/>
          <w:bottom w:val="nil"/>
          <w:right w:val="nil"/>
          <w:between w:val="nil"/>
        </w:pBdr>
        <w:spacing w:before="320" w:after="160" w:line="276" w:lineRule="auto"/>
        <w:jc w:val="both"/>
        <w:rPr>
          <w:rFonts w:ascii="Arial" w:eastAsia="Arial" w:hAnsi="Arial" w:cs="Arial"/>
          <w:sz w:val="22"/>
          <w:szCs w:val="22"/>
        </w:rPr>
      </w:pPr>
      <w:bookmarkStart w:id="7" w:name="_Toc227235249"/>
      <w:r w:rsidRPr="00E619C8">
        <w:rPr>
          <w:rFonts w:ascii="Arial" w:eastAsia="Arial" w:hAnsi="Arial" w:cs="Arial"/>
          <w:b/>
          <w:bCs/>
          <w:color w:val="C00000"/>
          <w:sz w:val="28"/>
          <w:szCs w:val="28"/>
        </w:rPr>
        <w:t>1.</w:t>
      </w:r>
      <w:r w:rsidR="003135B4" w:rsidRPr="00E619C8">
        <w:rPr>
          <w:rFonts w:ascii="Arial" w:eastAsia="Arial" w:hAnsi="Arial" w:cs="Arial"/>
          <w:b/>
          <w:bCs/>
          <w:color w:val="C00000"/>
          <w:sz w:val="28"/>
          <w:szCs w:val="28"/>
        </w:rPr>
        <w:t>4</w:t>
      </w:r>
      <w:r w:rsidRPr="00E619C8">
        <w:rPr>
          <w:rFonts w:ascii="Arial" w:eastAsia="Arial" w:hAnsi="Arial" w:cs="Arial"/>
          <w:b/>
          <w:bCs/>
          <w:color w:val="C00000"/>
          <w:sz w:val="28"/>
          <w:szCs w:val="28"/>
        </w:rPr>
        <w:t xml:space="preserve"> Principles</w:t>
      </w:r>
      <w:bookmarkEnd w:id="7"/>
    </w:p>
    <w:p w14:paraId="5E1F38E1" w14:textId="77777777"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The design and development of the ITI is based on the following principles:</w:t>
      </w:r>
    </w:p>
    <w:p w14:paraId="5EB704CE" w14:textId="33B4F773" w:rsidR="004A7A1C" w:rsidRPr="00E619C8" w:rsidRDefault="004A7A1C" w:rsidP="002C7F6B">
      <w:pPr>
        <w:numPr>
          <w:ilvl w:val="0"/>
          <w:numId w:val="18"/>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Relevance: it provides information on the state of the regulatory framework, the institutional capacity and the publication of information that relates to potential improvements in the management and implementation of infrastructure projects.</w:t>
      </w:r>
    </w:p>
    <w:p w14:paraId="6F0A3A00" w14:textId="4A2D2029" w:rsidR="004A7A1C" w:rsidRPr="00E619C8" w:rsidRDefault="004A7A1C" w:rsidP="002C7F6B">
      <w:pPr>
        <w:numPr>
          <w:ilvl w:val="0"/>
          <w:numId w:val="18"/>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Comprehensiveness: it uses a comprehensive set of indicators to provide a broad assessment of the sector and a detailed evaluation of a procuring entity.</w:t>
      </w:r>
    </w:p>
    <w:p w14:paraId="7358A05B" w14:textId="02E9617D" w:rsidR="004A7A1C" w:rsidRPr="00E619C8" w:rsidRDefault="004A7A1C" w:rsidP="002C7F6B">
      <w:pPr>
        <w:numPr>
          <w:ilvl w:val="0"/>
          <w:numId w:val="18"/>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Simplicity, replicability and trustworthiness: the data collection and processing methods are simple</w:t>
      </w:r>
      <w:r w:rsidR="00F656A7">
        <w:rPr>
          <w:rFonts w:ascii="Arial" w:eastAsia="Arial" w:hAnsi="Arial" w:cs="Arial"/>
          <w:sz w:val="22"/>
          <w:szCs w:val="22"/>
        </w:rPr>
        <w:t>;</w:t>
      </w:r>
      <w:r w:rsidRPr="00E619C8">
        <w:rPr>
          <w:rFonts w:ascii="Arial" w:eastAsia="Arial" w:hAnsi="Arial" w:cs="Arial"/>
          <w:sz w:val="22"/>
          <w:szCs w:val="22"/>
        </w:rPr>
        <w:t xml:space="preserve"> any person replicating the ITI methodology should be able to obtain the same results, so the results are easy to understand and can be used by different stakeholders.</w:t>
      </w:r>
    </w:p>
    <w:p w14:paraId="43E255ED" w14:textId="5AF9CA2D" w:rsidR="002033A5" w:rsidRPr="00E619C8" w:rsidRDefault="004A7A1C" w:rsidP="004A7A1C">
      <w:pPr>
        <w:numPr>
          <w:ilvl w:val="0"/>
          <w:numId w:val="18"/>
        </w:num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Objectivity: the methodology includes specific procedures designed to reduce subjectivity in data collection to ensure the reliability of the overall study.</w:t>
      </w:r>
    </w:p>
    <w:p w14:paraId="5D072BC1" w14:textId="77777777"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Further principles are that the ITI implementation should be:</w:t>
      </w:r>
    </w:p>
    <w:p w14:paraId="24088A33" w14:textId="36F831BE" w:rsidR="004A7A1C" w:rsidRPr="00E619C8" w:rsidRDefault="004A7A1C" w:rsidP="002C7F6B">
      <w:pPr>
        <w:numPr>
          <w:ilvl w:val="0"/>
          <w:numId w:val="18"/>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Impartial: the coordination of the ITI methodology and its implementation is carried out by an independent third party with relevant expertise.</w:t>
      </w:r>
    </w:p>
    <w:p w14:paraId="76AA8D7B" w14:textId="2D0C6C67" w:rsidR="004A7A1C" w:rsidRPr="00E619C8" w:rsidRDefault="004A7A1C" w:rsidP="002C7F6B">
      <w:pPr>
        <w:numPr>
          <w:ilvl w:val="0"/>
          <w:numId w:val="18"/>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 xml:space="preserve">Periodic: the evaluation is carried out </w:t>
      </w:r>
      <w:r w:rsidR="00617EC3">
        <w:rPr>
          <w:rFonts w:ascii="Arial" w:eastAsia="Arial" w:hAnsi="Arial" w:cs="Arial"/>
          <w:sz w:val="22"/>
          <w:szCs w:val="22"/>
        </w:rPr>
        <w:t>regularly</w:t>
      </w:r>
      <w:r w:rsidRPr="00E619C8">
        <w:rPr>
          <w:rFonts w:ascii="Arial" w:eastAsia="Arial" w:hAnsi="Arial" w:cs="Arial"/>
          <w:sz w:val="22"/>
          <w:szCs w:val="22"/>
        </w:rPr>
        <w:t xml:space="preserve"> (every two years is recommended) to allow time between evaluations to improve transparency, accountability and management of infrastructure delivery.</w:t>
      </w:r>
    </w:p>
    <w:p w14:paraId="0802A86A" w14:textId="0ECB6860" w:rsidR="004A7A1C" w:rsidRPr="00E619C8" w:rsidRDefault="004A7A1C" w:rsidP="002C7F6B">
      <w:pPr>
        <w:numPr>
          <w:ilvl w:val="0"/>
          <w:numId w:val="18"/>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Accurate: the indicator scores are determined using primary sources of information stemming from national websites and surveys of key public officials.</w:t>
      </w:r>
    </w:p>
    <w:p w14:paraId="6903A03B" w14:textId="7E32F8FB" w:rsidR="004A7A1C" w:rsidRPr="00E619C8" w:rsidRDefault="004A7A1C" w:rsidP="002C7F6B">
      <w:pPr>
        <w:numPr>
          <w:ilvl w:val="0"/>
          <w:numId w:val="18"/>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Specific: the score for each indicator is determined using a single piece of information. The same information is not reused to determine the score of other indicators.</w:t>
      </w:r>
    </w:p>
    <w:p w14:paraId="4B26DA57" w14:textId="401B96C7" w:rsidR="004A7A1C" w:rsidRPr="00E619C8" w:rsidRDefault="004A7A1C" w:rsidP="002C7F6B">
      <w:pPr>
        <w:numPr>
          <w:ilvl w:val="0"/>
          <w:numId w:val="18"/>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 xml:space="preserve">Informative: the results provide a snapshot of the procuring entities assessed, which </w:t>
      </w:r>
      <w:r w:rsidR="00F656A7">
        <w:rPr>
          <w:rFonts w:ascii="Arial" w:eastAsia="Arial" w:hAnsi="Arial" w:cs="Arial"/>
          <w:sz w:val="22"/>
          <w:szCs w:val="22"/>
        </w:rPr>
        <w:t>provides</w:t>
      </w:r>
      <w:r w:rsidRPr="00E619C8">
        <w:rPr>
          <w:rFonts w:ascii="Arial" w:eastAsia="Arial" w:hAnsi="Arial" w:cs="Arial"/>
          <w:sz w:val="22"/>
          <w:szCs w:val="22"/>
        </w:rPr>
        <w:t xml:space="preserve"> a broader picture of the national or sub-national situation.</w:t>
      </w:r>
    </w:p>
    <w:p w14:paraId="2C930C74" w14:textId="5B8F66C6" w:rsidR="004A7A1C" w:rsidRPr="00E619C8" w:rsidRDefault="004A7A1C" w:rsidP="002C7F6B">
      <w:pPr>
        <w:numPr>
          <w:ilvl w:val="0"/>
          <w:numId w:val="18"/>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 xml:space="preserve">Evolving: each ITI implementation includes for evaluation the procuring entities that have developed the most significant infrastructure projects during the study period, representing a degree of updating of the selected procuring entities from one ITI edition to another, to reflect the national or sub-national changes. In addition, in countries with </w:t>
      </w:r>
      <w:r w:rsidR="00B47E7D" w:rsidRPr="00E619C8">
        <w:rPr>
          <w:rFonts w:ascii="Arial" w:eastAsia="Arial" w:hAnsi="Arial" w:cs="Arial"/>
          <w:sz w:val="22"/>
          <w:szCs w:val="22"/>
        </w:rPr>
        <w:t>many</w:t>
      </w:r>
      <w:r w:rsidRPr="00E619C8">
        <w:rPr>
          <w:rFonts w:ascii="Arial" w:eastAsia="Arial" w:hAnsi="Arial" w:cs="Arial"/>
          <w:sz w:val="22"/>
          <w:szCs w:val="22"/>
        </w:rPr>
        <w:t xml:space="preserve"> procuring entities, </w:t>
      </w:r>
      <w:r w:rsidR="00F656A7">
        <w:rPr>
          <w:rFonts w:ascii="Arial" w:eastAsia="Arial" w:hAnsi="Arial" w:cs="Arial"/>
          <w:sz w:val="22"/>
          <w:szCs w:val="22"/>
        </w:rPr>
        <w:t>the number of entities assessed is expected to</w:t>
      </w:r>
      <w:r w:rsidRPr="00E619C8">
        <w:rPr>
          <w:rFonts w:ascii="Arial" w:eastAsia="Arial" w:hAnsi="Arial" w:cs="Arial"/>
          <w:sz w:val="22"/>
          <w:szCs w:val="22"/>
        </w:rPr>
        <w:t xml:space="preserve"> increase over time to provide a more complete representation of the national or sub-national context.</w:t>
      </w:r>
    </w:p>
    <w:p w14:paraId="16E85227" w14:textId="359F14EC" w:rsidR="002033A5" w:rsidRPr="00E619C8" w:rsidRDefault="004A7A1C" w:rsidP="004A7A1C">
      <w:pPr>
        <w:numPr>
          <w:ilvl w:val="0"/>
          <w:numId w:val="18"/>
        </w:num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Constructive: the ITI can help stakeholders work together to compare levels of transparency across procuring entities and countries, while monitoring how these change over time.</w:t>
      </w:r>
    </w:p>
    <w:p w14:paraId="69A45006" w14:textId="77777777"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As with any other evaluation tool, the impact of an ITI evaluation depends on the extent to which its results are used by those responsible for decision-making.</w:t>
      </w:r>
    </w:p>
    <w:p w14:paraId="5F9ED650" w14:textId="49E9D19E" w:rsidR="002033A5" w:rsidRPr="00E619C8" w:rsidRDefault="00E113EC">
      <w:pPr>
        <w:pStyle w:val="Heading2"/>
        <w:pBdr>
          <w:top w:val="nil"/>
          <w:left w:val="nil"/>
          <w:bottom w:val="nil"/>
          <w:right w:val="nil"/>
          <w:between w:val="nil"/>
        </w:pBdr>
        <w:spacing w:before="320" w:after="160" w:line="276" w:lineRule="auto"/>
        <w:jc w:val="both"/>
        <w:rPr>
          <w:rFonts w:ascii="Arial" w:eastAsia="Arial" w:hAnsi="Arial" w:cs="Arial"/>
          <w:color w:val="000000"/>
          <w:sz w:val="22"/>
          <w:szCs w:val="22"/>
        </w:rPr>
      </w:pPr>
      <w:bookmarkStart w:id="8" w:name="_Toc227235250"/>
      <w:r w:rsidRPr="00E619C8">
        <w:rPr>
          <w:rFonts w:ascii="Arial" w:eastAsia="Arial" w:hAnsi="Arial" w:cs="Arial"/>
          <w:b/>
          <w:bCs/>
          <w:color w:val="C00000"/>
          <w:sz w:val="28"/>
          <w:szCs w:val="28"/>
        </w:rPr>
        <w:t>1.</w:t>
      </w:r>
      <w:r w:rsidR="003135B4" w:rsidRPr="00E619C8">
        <w:rPr>
          <w:rFonts w:ascii="Arial" w:eastAsia="Arial" w:hAnsi="Arial" w:cs="Arial"/>
          <w:b/>
          <w:bCs/>
          <w:color w:val="C00000"/>
          <w:sz w:val="28"/>
          <w:szCs w:val="28"/>
        </w:rPr>
        <w:t>5</w:t>
      </w:r>
      <w:r w:rsidRPr="00E619C8">
        <w:rPr>
          <w:rFonts w:ascii="Arial" w:eastAsia="Arial" w:hAnsi="Arial" w:cs="Arial"/>
          <w:b/>
          <w:bCs/>
          <w:color w:val="C00000"/>
          <w:sz w:val="28"/>
          <w:szCs w:val="28"/>
        </w:rPr>
        <w:t xml:space="preserve"> Structure and content</w:t>
      </w:r>
      <w:bookmarkEnd w:id="8"/>
    </w:p>
    <w:p w14:paraId="6B90969F" w14:textId="1D947FC4"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The Infrastructure Transparency Index draws on four building blocks known as dimensions, namely:</w:t>
      </w:r>
    </w:p>
    <w:p w14:paraId="24EF509E" w14:textId="7B0E895B" w:rsidR="002033A5" w:rsidRPr="00E619C8" w:rsidRDefault="002C7F6B">
      <w:pPr>
        <w:numPr>
          <w:ilvl w:val="0"/>
          <w:numId w:val="20"/>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Enabling environment</w:t>
      </w:r>
    </w:p>
    <w:p w14:paraId="0BF484CF" w14:textId="7773904B" w:rsidR="002033A5" w:rsidRPr="00E619C8" w:rsidRDefault="002C7F6B">
      <w:pPr>
        <w:numPr>
          <w:ilvl w:val="0"/>
          <w:numId w:val="20"/>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Capacities and processes</w:t>
      </w:r>
    </w:p>
    <w:p w14:paraId="3E97B0A6" w14:textId="1825B998" w:rsidR="002033A5" w:rsidRPr="00E619C8" w:rsidRDefault="002C7F6B">
      <w:pPr>
        <w:numPr>
          <w:ilvl w:val="0"/>
          <w:numId w:val="20"/>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Citizen participation</w:t>
      </w:r>
    </w:p>
    <w:p w14:paraId="5C6093AA" w14:textId="13CF9504" w:rsidR="002033A5" w:rsidRPr="00E619C8" w:rsidRDefault="002C7F6B">
      <w:pPr>
        <w:numPr>
          <w:ilvl w:val="0"/>
          <w:numId w:val="20"/>
        </w:num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Information disclosure.</w:t>
      </w:r>
    </w:p>
    <w:p w14:paraId="000DC5EA" w14:textId="64CD35F7"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The first dimension evaluates the national or sub-national context with its legal framework. The other three evaluate the capacities and transparency outcomes at </w:t>
      </w:r>
      <w:r w:rsidR="00F656A7">
        <w:rPr>
          <w:rFonts w:ascii="Arial" w:eastAsia="Arial" w:hAnsi="Arial" w:cs="Arial"/>
          <w:sz w:val="22"/>
          <w:szCs w:val="22"/>
        </w:rPr>
        <w:t>the procuring entity</w:t>
      </w:r>
      <w:r w:rsidRPr="00E619C8">
        <w:rPr>
          <w:rFonts w:ascii="Arial" w:eastAsia="Arial" w:hAnsi="Arial" w:cs="Arial"/>
          <w:sz w:val="22"/>
          <w:szCs w:val="22"/>
        </w:rPr>
        <w:t xml:space="preserve"> level. Together, the four dimensions align with empirical studies </w:t>
      </w:r>
      <w:r w:rsidR="00F656A7">
        <w:rPr>
          <w:rFonts w:ascii="Arial" w:eastAsia="Arial" w:hAnsi="Arial" w:cs="Arial"/>
          <w:sz w:val="22"/>
          <w:szCs w:val="22"/>
        </w:rPr>
        <w:t>showing that</w:t>
      </w:r>
      <w:r w:rsidRPr="00E619C8">
        <w:rPr>
          <w:rFonts w:ascii="Arial" w:eastAsia="Arial" w:hAnsi="Arial" w:cs="Arial"/>
          <w:sz w:val="22"/>
          <w:szCs w:val="22"/>
        </w:rPr>
        <w:t xml:space="preserve"> the quality of procurement outcomes depends on </w:t>
      </w:r>
      <w:r w:rsidR="00F81B6E">
        <w:rPr>
          <w:rFonts w:ascii="Arial" w:eastAsia="Arial" w:hAnsi="Arial" w:cs="Arial"/>
          <w:sz w:val="22"/>
          <w:szCs w:val="22"/>
        </w:rPr>
        <w:t>both</w:t>
      </w:r>
      <w:r w:rsidRPr="00E619C8">
        <w:rPr>
          <w:rFonts w:ascii="Arial" w:eastAsia="Arial" w:hAnsi="Arial" w:cs="Arial"/>
          <w:sz w:val="22"/>
          <w:szCs w:val="22"/>
        </w:rPr>
        <w:t xml:space="preserve"> the regulatory framework and institutional capacities.</w:t>
      </w:r>
    </w:p>
    <w:p w14:paraId="2B6E5DBA" w14:textId="2DEB369F"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Each of the four dimensions is divided into a series of components to </w:t>
      </w:r>
      <w:r w:rsidR="00F656A7">
        <w:rPr>
          <w:rFonts w:ascii="Arial" w:eastAsia="Arial" w:hAnsi="Arial" w:cs="Arial"/>
          <w:sz w:val="22"/>
          <w:szCs w:val="22"/>
        </w:rPr>
        <w:t>enable</w:t>
      </w:r>
      <w:r w:rsidRPr="00E619C8">
        <w:rPr>
          <w:rFonts w:ascii="Arial" w:eastAsia="Arial" w:hAnsi="Arial" w:cs="Arial"/>
          <w:sz w:val="22"/>
          <w:szCs w:val="22"/>
        </w:rPr>
        <w:t xml:space="preserve"> comprehensive evaluation. The result is a four-level hierarchy: the dimensions are determined by variables, which are in turn shaped by sub-variables, which are derived from indicators (see Figure 1).</w:t>
      </w:r>
    </w:p>
    <w:p w14:paraId="440E797F" w14:textId="77777777" w:rsidR="002033A5" w:rsidRPr="00E619C8" w:rsidRDefault="00E113EC">
      <w:pPr>
        <w:pBdr>
          <w:top w:val="nil"/>
          <w:left w:val="nil"/>
          <w:bottom w:val="nil"/>
          <w:right w:val="nil"/>
          <w:between w:val="nil"/>
        </w:pBdr>
        <w:spacing w:after="160" w:line="300" w:lineRule="auto"/>
        <w:jc w:val="center"/>
        <w:rPr>
          <w:rFonts w:ascii="Arial" w:eastAsia="Arial" w:hAnsi="Arial" w:cs="Arial"/>
          <w:sz w:val="22"/>
          <w:szCs w:val="22"/>
        </w:rPr>
      </w:pPr>
      <w:r w:rsidRPr="00E619C8">
        <w:rPr>
          <w:rFonts w:ascii="Arial" w:eastAsia="Arial" w:hAnsi="Arial" w:cs="Arial"/>
          <w:noProof/>
          <w:sz w:val="22"/>
          <w:szCs w:val="22"/>
        </w:rPr>
        <w:drawing>
          <wp:inline distT="114300" distB="114300" distL="114300" distR="114300" wp14:anchorId="3E300AFC" wp14:editId="5422321F">
            <wp:extent cx="4310063" cy="2240946"/>
            <wp:effectExtent l="0" t="0" r="0" b="0"/>
            <wp:docPr id="1857035775" name="image37.png"/>
            <wp:cNvGraphicFramePr/>
            <a:graphic xmlns:a="http://schemas.openxmlformats.org/drawingml/2006/main">
              <a:graphicData uri="http://schemas.openxmlformats.org/drawingml/2006/picture">
                <pic:pic xmlns:pic="http://schemas.openxmlformats.org/drawingml/2006/picture">
                  <pic:nvPicPr>
                    <pic:cNvPr id="0" name="image37.png"/>
                    <pic:cNvPicPr preferRelativeResize="0"/>
                  </pic:nvPicPr>
                  <pic:blipFill>
                    <a:blip r:embed="rId21"/>
                    <a:srcRect/>
                    <a:stretch>
                      <a:fillRect/>
                    </a:stretch>
                  </pic:blipFill>
                  <pic:spPr>
                    <a:xfrm>
                      <a:off x="0" y="0"/>
                      <a:ext cx="4310063" cy="2240946"/>
                    </a:xfrm>
                    <a:prstGeom prst="rect">
                      <a:avLst/>
                    </a:prstGeom>
                    <a:ln/>
                  </pic:spPr>
                </pic:pic>
              </a:graphicData>
            </a:graphic>
          </wp:inline>
        </w:drawing>
      </w:r>
    </w:p>
    <w:p w14:paraId="7A57C4D7" w14:textId="77777777" w:rsidR="002033A5" w:rsidRPr="00E619C8" w:rsidRDefault="00E113EC">
      <w:pPr>
        <w:pBdr>
          <w:top w:val="nil"/>
          <w:left w:val="nil"/>
          <w:bottom w:val="nil"/>
          <w:right w:val="nil"/>
          <w:between w:val="nil"/>
        </w:pBdr>
        <w:spacing w:after="160" w:line="300" w:lineRule="auto"/>
        <w:jc w:val="center"/>
        <w:rPr>
          <w:rFonts w:ascii="Arial" w:eastAsia="Arial" w:hAnsi="Arial" w:cs="Arial"/>
          <w:sz w:val="22"/>
          <w:szCs w:val="22"/>
        </w:rPr>
      </w:pPr>
      <w:r w:rsidRPr="00E619C8">
        <w:rPr>
          <w:rFonts w:ascii="Arial" w:eastAsia="Arial" w:hAnsi="Arial" w:cs="Arial"/>
          <w:sz w:val="20"/>
          <w:szCs w:val="20"/>
        </w:rPr>
        <w:t>Figure 1. ITI hierarchy example</w:t>
      </w:r>
    </w:p>
    <w:p w14:paraId="142765CB" w14:textId="3B229E86" w:rsidR="002033A5"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All </w:t>
      </w:r>
      <w:r w:rsidR="00F656A7">
        <w:rPr>
          <w:rFonts w:ascii="Arial" w:eastAsia="Arial" w:hAnsi="Arial" w:cs="Arial"/>
          <w:sz w:val="22"/>
          <w:szCs w:val="22"/>
        </w:rPr>
        <w:t>indicators are evaluated and scored individually</w:t>
      </w:r>
      <w:r w:rsidRPr="00E619C8">
        <w:rPr>
          <w:rFonts w:ascii="Arial" w:eastAsia="Arial" w:hAnsi="Arial" w:cs="Arial"/>
          <w:sz w:val="22"/>
          <w:szCs w:val="22"/>
        </w:rPr>
        <w:t xml:space="preserve">. A set of weighted indicator scores then gives a sub-variable score; a set of weighted sub-variable scores gives a variable score; and a set of weighted variable scores gives a dimension score. A national or sub-national ITI score is finally obtained from the weighted sum of the </w:t>
      </w:r>
      <w:r w:rsidR="00F656A7">
        <w:rPr>
          <w:rFonts w:ascii="Arial" w:eastAsia="Arial" w:hAnsi="Arial" w:cs="Arial"/>
          <w:sz w:val="22"/>
          <w:szCs w:val="22"/>
        </w:rPr>
        <w:t>four-dimensional</w:t>
      </w:r>
      <w:r w:rsidRPr="00E619C8">
        <w:rPr>
          <w:rFonts w:ascii="Arial" w:eastAsia="Arial" w:hAnsi="Arial" w:cs="Arial"/>
          <w:sz w:val="22"/>
          <w:szCs w:val="22"/>
        </w:rPr>
        <w:t xml:space="preserve"> scores. </w:t>
      </w:r>
    </w:p>
    <w:p w14:paraId="7014FE2E" w14:textId="77777777" w:rsidR="00212ABA" w:rsidRDefault="00212ABA">
      <w:pPr>
        <w:pBdr>
          <w:top w:val="nil"/>
          <w:left w:val="nil"/>
          <w:bottom w:val="nil"/>
          <w:right w:val="nil"/>
          <w:between w:val="nil"/>
        </w:pBdr>
        <w:spacing w:after="160" w:line="300" w:lineRule="auto"/>
        <w:jc w:val="both"/>
        <w:rPr>
          <w:rFonts w:ascii="Arial" w:eastAsia="Arial" w:hAnsi="Arial" w:cs="Arial"/>
          <w:sz w:val="22"/>
          <w:szCs w:val="22"/>
        </w:rPr>
      </w:pPr>
    </w:p>
    <w:p w14:paraId="67B05FD7" w14:textId="77777777" w:rsidR="00212ABA" w:rsidRDefault="00212ABA">
      <w:pPr>
        <w:pBdr>
          <w:top w:val="nil"/>
          <w:left w:val="nil"/>
          <w:bottom w:val="nil"/>
          <w:right w:val="nil"/>
          <w:between w:val="nil"/>
        </w:pBdr>
        <w:spacing w:after="160" w:line="300" w:lineRule="auto"/>
        <w:jc w:val="both"/>
        <w:rPr>
          <w:rFonts w:ascii="Arial" w:eastAsia="Arial" w:hAnsi="Arial" w:cs="Arial"/>
          <w:sz w:val="22"/>
          <w:szCs w:val="22"/>
        </w:rPr>
      </w:pPr>
    </w:p>
    <w:p w14:paraId="1856CEAC" w14:textId="77777777" w:rsidR="00F81B6E" w:rsidRPr="00E619C8" w:rsidRDefault="00F81B6E">
      <w:pPr>
        <w:pBdr>
          <w:top w:val="nil"/>
          <w:left w:val="nil"/>
          <w:bottom w:val="nil"/>
          <w:right w:val="nil"/>
          <w:between w:val="nil"/>
        </w:pBdr>
        <w:spacing w:after="160" w:line="300" w:lineRule="auto"/>
        <w:jc w:val="both"/>
        <w:rPr>
          <w:rFonts w:ascii="Arial" w:eastAsia="Arial" w:hAnsi="Arial" w:cs="Arial"/>
          <w:sz w:val="22"/>
          <w:szCs w:val="22"/>
        </w:rPr>
      </w:pPr>
    </w:p>
    <w:p w14:paraId="4678CF9F" w14:textId="77777777" w:rsidR="002033A5" w:rsidRPr="00E619C8" w:rsidRDefault="00E113EC">
      <w:pPr>
        <w:pBdr>
          <w:top w:val="nil"/>
          <w:left w:val="nil"/>
          <w:bottom w:val="nil"/>
          <w:right w:val="nil"/>
          <w:between w:val="nil"/>
        </w:pBdr>
        <w:spacing w:after="160" w:line="300" w:lineRule="auto"/>
        <w:jc w:val="both"/>
        <w:rPr>
          <w:b/>
          <w:bCs/>
          <w:color w:val="C00000"/>
          <w:sz w:val="28"/>
          <w:szCs w:val="28"/>
        </w:rPr>
      </w:pPr>
      <w:r w:rsidRPr="00E619C8">
        <w:rPr>
          <w:rFonts w:ascii="Arial" w:eastAsia="Arial" w:hAnsi="Arial" w:cs="Arial"/>
          <w:b/>
          <w:bCs/>
          <w:color w:val="C00000"/>
        </w:rPr>
        <w:t>Dimensions</w:t>
      </w:r>
    </w:p>
    <w:p w14:paraId="23C1ED6A" w14:textId="77777777" w:rsidR="002033A5" w:rsidRPr="00E619C8" w:rsidRDefault="00E113EC">
      <w:pPr>
        <w:pBdr>
          <w:top w:val="nil"/>
          <w:left w:val="nil"/>
          <w:bottom w:val="nil"/>
          <w:right w:val="nil"/>
          <w:between w:val="nil"/>
        </w:pBdr>
        <w:spacing w:after="160" w:line="300" w:lineRule="auto"/>
        <w:jc w:val="both"/>
        <w:rPr>
          <w:rFonts w:ascii="Arial" w:eastAsia="Arial" w:hAnsi="Arial" w:cs="Arial"/>
          <w:b/>
          <w:bCs/>
          <w:sz w:val="22"/>
          <w:szCs w:val="22"/>
        </w:rPr>
      </w:pPr>
      <w:r w:rsidRPr="00E619C8">
        <w:rPr>
          <w:rFonts w:ascii="Arial" w:eastAsia="Arial" w:hAnsi="Arial" w:cs="Arial"/>
          <w:b/>
          <w:bCs/>
          <w:sz w:val="22"/>
          <w:szCs w:val="22"/>
        </w:rPr>
        <w:t>Dimension 1: Enabling environment</w:t>
      </w:r>
    </w:p>
    <w:p w14:paraId="61BDCF80" w14:textId="2EAC94B9"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Dimension 1 assesses national or sub-national conditions </w:t>
      </w:r>
      <w:r w:rsidR="00F656A7">
        <w:rPr>
          <w:rFonts w:ascii="Arial" w:eastAsia="Arial" w:hAnsi="Arial" w:cs="Arial"/>
          <w:sz w:val="22"/>
          <w:szCs w:val="22"/>
        </w:rPr>
        <w:t>that enable transparency in</w:t>
      </w:r>
      <w:r w:rsidRPr="00E619C8">
        <w:rPr>
          <w:rFonts w:ascii="Arial" w:eastAsia="Arial" w:hAnsi="Arial" w:cs="Arial"/>
          <w:sz w:val="22"/>
          <w:szCs w:val="22"/>
        </w:rPr>
        <w:t xml:space="preserve"> the infrastructure sector</w:t>
      </w:r>
      <w:r w:rsidR="00F656A7">
        <w:rPr>
          <w:rFonts w:ascii="Arial" w:eastAsia="Arial" w:hAnsi="Arial" w:cs="Arial"/>
          <w:sz w:val="22"/>
          <w:szCs w:val="22"/>
        </w:rPr>
        <w:t>,</w:t>
      </w:r>
      <w:r w:rsidRPr="00E619C8">
        <w:rPr>
          <w:rFonts w:ascii="Arial" w:eastAsia="Arial" w:hAnsi="Arial" w:cs="Arial"/>
          <w:sz w:val="22"/>
          <w:szCs w:val="22"/>
        </w:rPr>
        <w:t xml:space="preserve"> considering the regulatory framework and centralised digital tools. It has one variable, three sub-variables and 12 indicators. The complete list of indicators is provided in Annex 1. The variable and sub-variables of the dimension are:</w:t>
      </w:r>
    </w:p>
    <w:p w14:paraId="49CE5317" w14:textId="77777777" w:rsidR="002033A5" w:rsidRPr="00E619C8" w:rsidRDefault="00E113EC">
      <w:pPr>
        <w:numPr>
          <w:ilvl w:val="0"/>
          <w:numId w:val="17"/>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 xml:space="preserve">Legal framework and digital tools </w:t>
      </w:r>
    </w:p>
    <w:p w14:paraId="0B568149" w14:textId="77777777" w:rsidR="002033A5" w:rsidRPr="00E619C8" w:rsidRDefault="00E113EC">
      <w:pPr>
        <w:numPr>
          <w:ilvl w:val="1"/>
          <w:numId w:val="17"/>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 xml:space="preserve">Regulatory framework for public access to information </w:t>
      </w:r>
    </w:p>
    <w:p w14:paraId="10AA7E87" w14:textId="77777777" w:rsidR="002033A5" w:rsidRPr="00E619C8" w:rsidRDefault="00E113EC">
      <w:pPr>
        <w:numPr>
          <w:ilvl w:val="1"/>
          <w:numId w:val="17"/>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Transparency standards in the public infrastructure sector</w:t>
      </w:r>
    </w:p>
    <w:p w14:paraId="77C4AC93" w14:textId="77777777" w:rsidR="002033A5" w:rsidRPr="00E619C8" w:rsidRDefault="00E113EC">
      <w:pPr>
        <w:numPr>
          <w:ilvl w:val="1"/>
          <w:numId w:val="17"/>
        </w:num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National digital information tools.</w:t>
      </w:r>
    </w:p>
    <w:p w14:paraId="4F1D71B2" w14:textId="49BD3853"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All indicators of this dimension apply at the national or sub-national level and are measured once at the country or local level, irrespective of the number of procuring entities selected for evaluation. Its results provide feedback to strengthen the national or sub-national environment, not processes within institutions. The score for the dimension is obtained </w:t>
      </w:r>
      <w:r w:rsidR="00F656A7">
        <w:rPr>
          <w:rFonts w:ascii="Arial" w:eastAsia="Arial" w:hAnsi="Arial" w:cs="Arial"/>
          <w:sz w:val="22"/>
          <w:szCs w:val="22"/>
        </w:rPr>
        <w:t>by weighting</w:t>
      </w:r>
      <w:r w:rsidRPr="00E619C8">
        <w:rPr>
          <w:rFonts w:ascii="Arial" w:eastAsia="Arial" w:hAnsi="Arial" w:cs="Arial"/>
          <w:sz w:val="22"/>
          <w:szCs w:val="22"/>
        </w:rPr>
        <w:t xml:space="preserve"> the underlying indicators.</w:t>
      </w:r>
    </w:p>
    <w:p w14:paraId="021274B5" w14:textId="00EE6F18"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The indicators in this dimension are evaluated using information </w:t>
      </w:r>
      <w:r w:rsidR="00F656A7">
        <w:rPr>
          <w:rFonts w:ascii="Arial" w:eastAsia="Arial" w:hAnsi="Arial" w:cs="Arial"/>
          <w:sz w:val="22"/>
          <w:szCs w:val="22"/>
        </w:rPr>
        <w:t>typically available from online sources, such as websites containing national regulatory frameworks and sector-related information, particularly those focused on transparency, public procurement, public infrastructure,</w:t>
      </w:r>
      <w:r w:rsidRPr="00E619C8">
        <w:rPr>
          <w:rFonts w:ascii="Arial" w:eastAsia="Arial" w:hAnsi="Arial" w:cs="Arial"/>
          <w:sz w:val="22"/>
          <w:szCs w:val="22"/>
        </w:rPr>
        <w:t xml:space="preserve"> and public finances.</w:t>
      </w:r>
    </w:p>
    <w:p w14:paraId="1914052B" w14:textId="77777777" w:rsidR="002033A5" w:rsidRPr="00E619C8" w:rsidRDefault="00E113EC">
      <w:pPr>
        <w:pBdr>
          <w:top w:val="nil"/>
          <w:left w:val="nil"/>
          <w:bottom w:val="nil"/>
          <w:right w:val="nil"/>
          <w:between w:val="nil"/>
        </w:pBdr>
        <w:spacing w:after="160" w:line="300" w:lineRule="auto"/>
        <w:jc w:val="both"/>
        <w:rPr>
          <w:rFonts w:ascii="Arial" w:eastAsia="Arial" w:hAnsi="Arial" w:cs="Arial"/>
          <w:b/>
          <w:bCs/>
          <w:sz w:val="22"/>
          <w:szCs w:val="22"/>
        </w:rPr>
      </w:pPr>
      <w:r w:rsidRPr="00E619C8">
        <w:rPr>
          <w:rFonts w:ascii="Arial" w:eastAsia="Arial" w:hAnsi="Arial" w:cs="Arial"/>
          <w:b/>
          <w:bCs/>
          <w:sz w:val="22"/>
          <w:szCs w:val="22"/>
        </w:rPr>
        <w:t>Dimension 2: Capacities and processes</w:t>
      </w:r>
    </w:p>
    <w:p w14:paraId="30170C0E" w14:textId="6D7EC935"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Dimension 2 assesses the soundness of procuring entities’ procedures and </w:t>
      </w:r>
      <w:r w:rsidR="00F656A7">
        <w:rPr>
          <w:rFonts w:ascii="Arial" w:eastAsia="Arial" w:hAnsi="Arial" w:cs="Arial"/>
          <w:sz w:val="22"/>
          <w:szCs w:val="22"/>
        </w:rPr>
        <w:t>capabilities for disclosing</w:t>
      </w:r>
      <w:r w:rsidRPr="00E619C8">
        <w:rPr>
          <w:rFonts w:ascii="Arial" w:eastAsia="Arial" w:hAnsi="Arial" w:cs="Arial"/>
          <w:sz w:val="22"/>
          <w:szCs w:val="22"/>
        </w:rPr>
        <w:t xml:space="preserve"> data and information. It has two variables, five sub-variables and 25 indicators. The complete list of indicators is provided in Annex 1. The variables and sub-variables of the dimension are:</w:t>
      </w:r>
    </w:p>
    <w:p w14:paraId="7F363FDC" w14:textId="77777777" w:rsidR="002033A5" w:rsidRPr="00E619C8" w:rsidRDefault="00E113EC">
      <w:pPr>
        <w:numPr>
          <w:ilvl w:val="0"/>
          <w:numId w:val="16"/>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 xml:space="preserve">Institutional capacities </w:t>
      </w:r>
    </w:p>
    <w:p w14:paraId="5F3CE5C3" w14:textId="77777777" w:rsidR="002033A5" w:rsidRPr="00E619C8" w:rsidRDefault="00E113EC">
      <w:pPr>
        <w:numPr>
          <w:ilvl w:val="1"/>
          <w:numId w:val="16"/>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Basic knowledge</w:t>
      </w:r>
    </w:p>
    <w:p w14:paraId="3E475A02" w14:textId="77777777" w:rsidR="002033A5" w:rsidRPr="00E619C8" w:rsidRDefault="00E113EC">
      <w:pPr>
        <w:numPr>
          <w:ilvl w:val="1"/>
          <w:numId w:val="16"/>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Digital capacities</w:t>
      </w:r>
    </w:p>
    <w:p w14:paraId="5254D558" w14:textId="77777777" w:rsidR="002033A5" w:rsidRPr="00E619C8" w:rsidRDefault="00E113EC">
      <w:pPr>
        <w:numPr>
          <w:ilvl w:val="0"/>
          <w:numId w:val="16"/>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Institutional processes</w:t>
      </w:r>
    </w:p>
    <w:p w14:paraId="1B8969E9" w14:textId="77777777" w:rsidR="002033A5" w:rsidRPr="00E619C8" w:rsidRDefault="00E113EC">
      <w:pPr>
        <w:numPr>
          <w:ilvl w:val="1"/>
          <w:numId w:val="16"/>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Procedures to disclose information</w:t>
      </w:r>
    </w:p>
    <w:p w14:paraId="01B0DA6D" w14:textId="77777777" w:rsidR="002033A5" w:rsidRPr="00E619C8" w:rsidRDefault="00E113EC">
      <w:pPr>
        <w:numPr>
          <w:ilvl w:val="1"/>
          <w:numId w:val="16"/>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Enablers and barriers to the disclosure of information</w:t>
      </w:r>
    </w:p>
    <w:p w14:paraId="78B845B6" w14:textId="77777777" w:rsidR="002033A5" w:rsidRPr="00E619C8" w:rsidRDefault="00E113EC">
      <w:pPr>
        <w:numPr>
          <w:ilvl w:val="1"/>
          <w:numId w:val="16"/>
        </w:num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Control over infrastructure projects disclosure.</w:t>
      </w:r>
    </w:p>
    <w:p w14:paraId="50574736" w14:textId="4AC9EB73"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All the indicators of this dimension evaluate procuring entities, not national or sub-national conditions. The indicators are evaluated once </w:t>
      </w:r>
      <w:r w:rsidR="001C68FF">
        <w:rPr>
          <w:rFonts w:ascii="Arial" w:eastAsia="Arial" w:hAnsi="Arial" w:cs="Arial"/>
          <w:sz w:val="22"/>
          <w:szCs w:val="22"/>
        </w:rPr>
        <w:t>for</w:t>
      </w:r>
      <w:r w:rsidRPr="00E619C8">
        <w:rPr>
          <w:rFonts w:ascii="Arial" w:eastAsia="Arial" w:hAnsi="Arial" w:cs="Arial"/>
          <w:sz w:val="22"/>
          <w:szCs w:val="22"/>
        </w:rPr>
        <w:t xml:space="preserve"> each of “n</w:t>
      </w:r>
      <w:r w:rsidRPr="00E619C8">
        <w:rPr>
          <w:rFonts w:ascii="Arial" w:eastAsia="Arial" w:hAnsi="Arial" w:cs="Arial"/>
          <w:sz w:val="22"/>
          <w:szCs w:val="22"/>
          <w:vertAlign w:val="subscript"/>
        </w:rPr>
        <w:t>e</w:t>
      </w:r>
      <w:r w:rsidRPr="00E619C8">
        <w:rPr>
          <w:rFonts w:ascii="Arial" w:eastAsia="Arial" w:hAnsi="Arial" w:cs="Arial"/>
          <w:sz w:val="22"/>
          <w:szCs w:val="22"/>
        </w:rPr>
        <w:t xml:space="preserve">'' selected procuring entities. The dimension results offer feedback to strengthen capacities and processes at the PE level. The </w:t>
      </w:r>
      <w:r w:rsidR="00264BC5">
        <w:rPr>
          <w:rFonts w:ascii="Arial" w:eastAsia="Arial" w:hAnsi="Arial" w:cs="Arial"/>
          <w:sz w:val="22"/>
          <w:szCs w:val="22"/>
        </w:rPr>
        <w:t xml:space="preserve">dimension score is obtained </w:t>
      </w:r>
      <w:r w:rsidR="00212ABA">
        <w:rPr>
          <w:rFonts w:ascii="Arial" w:eastAsia="Arial" w:hAnsi="Arial" w:cs="Arial"/>
          <w:sz w:val="22"/>
          <w:szCs w:val="22"/>
        </w:rPr>
        <w:t>by weighting</w:t>
      </w:r>
      <w:r w:rsidRPr="00E619C8">
        <w:rPr>
          <w:rFonts w:ascii="Arial" w:eastAsia="Arial" w:hAnsi="Arial" w:cs="Arial"/>
          <w:sz w:val="22"/>
          <w:szCs w:val="22"/>
        </w:rPr>
        <w:t xml:space="preserve"> the underlying indicators for each PE.</w:t>
      </w:r>
    </w:p>
    <w:p w14:paraId="3F53C932" w14:textId="443B2B1E"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The data required to evaluate the indicators </w:t>
      </w:r>
      <w:r w:rsidR="00264BC5">
        <w:rPr>
          <w:rFonts w:ascii="Arial" w:eastAsia="Arial" w:hAnsi="Arial" w:cs="Arial"/>
          <w:sz w:val="22"/>
          <w:szCs w:val="22"/>
        </w:rPr>
        <w:t xml:space="preserve">for this dimension are captured through a survey </w:t>
      </w:r>
      <w:r w:rsidR="00212ABA">
        <w:rPr>
          <w:rFonts w:ascii="Arial" w:eastAsia="Arial" w:hAnsi="Arial" w:cs="Arial"/>
          <w:sz w:val="22"/>
          <w:szCs w:val="22"/>
        </w:rPr>
        <w:t>conducted</w:t>
      </w:r>
      <w:r w:rsidR="00264BC5">
        <w:rPr>
          <w:rFonts w:ascii="Arial" w:eastAsia="Arial" w:hAnsi="Arial" w:cs="Arial"/>
          <w:sz w:val="22"/>
          <w:szCs w:val="22"/>
        </w:rPr>
        <w:t xml:space="preserve"> by a selected government officer or a group of officers at each procuring entity, either via </w:t>
      </w:r>
      <w:r w:rsidRPr="00E619C8">
        <w:rPr>
          <w:rFonts w:ascii="Arial" w:eastAsia="Arial" w:hAnsi="Arial" w:cs="Arial"/>
          <w:sz w:val="22"/>
          <w:szCs w:val="22"/>
        </w:rPr>
        <w:t>self-assessment or interview.</w:t>
      </w:r>
    </w:p>
    <w:p w14:paraId="0C5A5032" w14:textId="77777777" w:rsidR="002033A5" w:rsidRPr="00E619C8" w:rsidRDefault="00E113EC">
      <w:pPr>
        <w:pBdr>
          <w:top w:val="nil"/>
          <w:left w:val="nil"/>
          <w:bottom w:val="nil"/>
          <w:right w:val="nil"/>
          <w:between w:val="nil"/>
        </w:pBdr>
        <w:spacing w:after="160" w:line="300" w:lineRule="auto"/>
        <w:jc w:val="both"/>
        <w:rPr>
          <w:rFonts w:ascii="Arial" w:eastAsia="Arial" w:hAnsi="Arial" w:cs="Arial"/>
          <w:b/>
          <w:bCs/>
          <w:sz w:val="22"/>
          <w:szCs w:val="22"/>
        </w:rPr>
      </w:pPr>
      <w:r w:rsidRPr="00E619C8">
        <w:rPr>
          <w:rFonts w:ascii="Arial" w:eastAsia="Arial" w:hAnsi="Arial" w:cs="Arial"/>
          <w:b/>
          <w:bCs/>
          <w:sz w:val="22"/>
          <w:szCs w:val="22"/>
        </w:rPr>
        <w:t>Dimension 3: Citizen participation</w:t>
      </w:r>
    </w:p>
    <w:p w14:paraId="7FC33725" w14:textId="77777777"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Dimension 3 evaluates the opportunities provided by PEs for citizen participation and how citizens can use the disclosed public information. It has one variable, two sub-variables and 12 indicators. The complete list of indicators is provided in Annex 1. The variable and sub-variables of the dimension are:</w:t>
      </w:r>
    </w:p>
    <w:p w14:paraId="7F27945A" w14:textId="77777777" w:rsidR="002033A5" w:rsidRPr="00E619C8" w:rsidRDefault="00E113EC">
      <w:pPr>
        <w:numPr>
          <w:ilvl w:val="0"/>
          <w:numId w:val="21"/>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 xml:space="preserve">Participation practices </w:t>
      </w:r>
    </w:p>
    <w:p w14:paraId="2C7341F3" w14:textId="77777777" w:rsidR="002033A5" w:rsidRPr="00E619C8" w:rsidRDefault="00E113EC">
      <w:pPr>
        <w:numPr>
          <w:ilvl w:val="1"/>
          <w:numId w:val="21"/>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Participation opportunities</w:t>
      </w:r>
    </w:p>
    <w:p w14:paraId="5CB5C77D" w14:textId="77777777" w:rsidR="002033A5" w:rsidRPr="00E619C8" w:rsidRDefault="00E113EC">
      <w:pPr>
        <w:numPr>
          <w:ilvl w:val="1"/>
          <w:numId w:val="21"/>
        </w:num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Use of information by citizens.</w:t>
      </w:r>
    </w:p>
    <w:p w14:paraId="44B2F9CD" w14:textId="5AD095D9"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All the indicators of this dimension evaluate PEs. The indicators are evaluated once for each of “n</w:t>
      </w:r>
      <w:r w:rsidRPr="00E619C8">
        <w:rPr>
          <w:rFonts w:ascii="Arial" w:eastAsia="Arial" w:hAnsi="Arial" w:cs="Arial"/>
          <w:sz w:val="22"/>
          <w:szCs w:val="22"/>
          <w:vertAlign w:val="subscript"/>
        </w:rPr>
        <w:t>e</w:t>
      </w:r>
      <w:r w:rsidRPr="00E619C8">
        <w:rPr>
          <w:rFonts w:ascii="Arial" w:eastAsia="Arial" w:hAnsi="Arial" w:cs="Arial"/>
          <w:sz w:val="22"/>
          <w:szCs w:val="22"/>
        </w:rPr>
        <w:t xml:space="preserve">” selected PEs. The results from this dimension </w:t>
      </w:r>
      <w:r w:rsidR="00264BC5">
        <w:rPr>
          <w:rFonts w:ascii="Arial" w:eastAsia="Arial" w:hAnsi="Arial" w:cs="Arial"/>
          <w:sz w:val="22"/>
          <w:szCs w:val="22"/>
        </w:rPr>
        <w:t>provide feedback to strengthen a PE's citizen</w:t>
      </w:r>
      <w:r w:rsidRPr="00E619C8">
        <w:rPr>
          <w:rFonts w:ascii="Arial" w:eastAsia="Arial" w:hAnsi="Arial" w:cs="Arial"/>
          <w:sz w:val="22"/>
          <w:szCs w:val="22"/>
        </w:rPr>
        <w:t xml:space="preserve"> participation practices. The score for this dimension is obtained </w:t>
      </w:r>
      <w:r w:rsidR="00264BC5">
        <w:rPr>
          <w:rFonts w:ascii="Arial" w:eastAsia="Arial" w:hAnsi="Arial" w:cs="Arial"/>
          <w:sz w:val="22"/>
          <w:szCs w:val="22"/>
        </w:rPr>
        <w:t>by summing the weighted values</w:t>
      </w:r>
      <w:r w:rsidRPr="00E619C8">
        <w:rPr>
          <w:rFonts w:ascii="Arial" w:eastAsia="Arial" w:hAnsi="Arial" w:cs="Arial"/>
          <w:sz w:val="22"/>
          <w:szCs w:val="22"/>
        </w:rPr>
        <w:t xml:space="preserve"> of the underlying indicators for each PE.</w:t>
      </w:r>
    </w:p>
    <w:p w14:paraId="4960EBD7" w14:textId="5E8CB577"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The data required to evaluate the indicators from this dimension are captured by a survey (the same as for dimension 2) that </w:t>
      </w:r>
      <w:r w:rsidR="00350B2A" w:rsidRPr="00E619C8">
        <w:rPr>
          <w:rFonts w:ascii="Arial" w:eastAsia="Arial" w:hAnsi="Arial" w:cs="Arial"/>
          <w:sz w:val="22"/>
          <w:szCs w:val="22"/>
        </w:rPr>
        <w:t>must</w:t>
      </w:r>
      <w:r w:rsidRPr="00E619C8">
        <w:rPr>
          <w:rFonts w:ascii="Arial" w:eastAsia="Arial" w:hAnsi="Arial" w:cs="Arial"/>
          <w:sz w:val="22"/>
          <w:szCs w:val="22"/>
        </w:rPr>
        <w:t xml:space="preserve"> be undertaken by a selected government officer</w:t>
      </w:r>
      <w:r w:rsidR="004A7A1C" w:rsidRPr="00E619C8">
        <w:rPr>
          <w:rFonts w:ascii="Arial" w:eastAsia="Arial" w:hAnsi="Arial" w:cs="Arial"/>
          <w:sz w:val="22"/>
          <w:szCs w:val="22"/>
        </w:rPr>
        <w:t xml:space="preserve"> or a group of </w:t>
      </w:r>
      <w:r w:rsidR="002C7F6B" w:rsidRPr="00E619C8">
        <w:rPr>
          <w:rFonts w:ascii="Arial" w:eastAsia="Arial" w:hAnsi="Arial" w:cs="Arial"/>
          <w:sz w:val="22"/>
          <w:szCs w:val="22"/>
        </w:rPr>
        <w:t>officers at</w:t>
      </w:r>
      <w:r w:rsidRPr="00E619C8">
        <w:rPr>
          <w:rFonts w:ascii="Arial" w:eastAsia="Arial" w:hAnsi="Arial" w:cs="Arial"/>
          <w:sz w:val="22"/>
          <w:szCs w:val="22"/>
        </w:rPr>
        <w:t xml:space="preserve"> each PE through either self-assessment or interview.</w:t>
      </w:r>
    </w:p>
    <w:p w14:paraId="264471FF" w14:textId="77777777" w:rsidR="002033A5" w:rsidRPr="00E619C8" w:rsidRDefault="00E113EC">
      <w:pPr>
        <w:pBdr>
          <w:top w:val="nil"/>
          <w:left w:val="nil"/>
          <w:bottom w:val="nil"/>
          <w:right w:val="nil"/>
          <w:between w:val="nil"/>
        </w:pBdr>
        <w:spacing w:after="160" w:line="300" w:lineRule="auto"/>
        <w:jc w:val="both"/>
        <w:rPr>
          <w:rFonts w:ascii="Arial" w:eastAsia="Arial" w:hAnsi="Arial" w:cs="Arial"/>
          <w:b/>
          <w:bCs/>
          <w:sz w:val="22"/>
          <w:szCs w:val="22"/>
        </w:rPr>
      </w:pPr>
      <w:r w:rsidRPr="00E619C8">
        <w:rPr>
          <w:rFonts w:ascii="Arial" w:eastAsia="Arial" w:hAnsi="Arial" w:cs="Arial"/>
          <w:b/>
          <w:bCs/>
          <w:sz w:val="22"/>
          <w:szCs w:val="22"/>
        </w:rPr>
        <w:t xml:space="preserve">Dimension 4: Information disclosure </w:t>
      </w:r>
    </w:p>
    <w:p w14:paraId="2AD603C7" w14:textId="7E73221A"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Dimension 4 assesses the </w:t>
      </w:r>
      <w:r w:rsidR="00264BC5">
        <w:rPr>
          <w:rFonts w:ascii="Arial" w:eastAsia="Arial" w:hAnsi="Arial" w:cs="Arial"/>
          <w:sz w:val="22"/>
          <w:szCs w:val="22"/>
        </w:rPr>
        <w:t xml:space="preserve">extent </w:t>
      </w:r>
      <w:r w:rsidR="0071660C">
        <w:rPr>
          <w:rFonts w:ascii="Arial" w:eastAsia="Arial" w:hAnsi="Arial" w:cs="Arial"/>
          <w:sz w:val="22"/>
          <w:szCs w:val="22"/>
        </w:rPr>
        <w:t>to which project data and information are publishe</w:t>
      </w:r>
      <w:r w:rsidR="00264BC5">
        <w:rPr>
          <w:rFonts w:ascii="Arial" w:eastAsia="Arial" w:hAnsi="Arial" w:cs="Arial"/>
          <w:sz w:val="22"/>
          <w:szCs w:val="22"/>
        </w:rPr>
        <w:t>d by the PEs, in accordance with</w:t>
      </w:r>
      <w:r w:rsidRPr="00E619C8">
        <w:rPr>
          <w:rFonts w:ascii="Arial" w:eastAsia="Arial" w:hAnsi="Arial" w:cs="Arial"/>
          <w:sz w:val="22"/>
          <w:szCs w:val="22"/>
        </w:rPr>
        <w:t xml:space="preserve"> the CoST Infrastructure Data Standard </w:t>
      </w:r>
      <w:r w:rsidR="004A7A1C" w:rsidRPr="00E619C8">
        <w:rPr>
          <w:rFonts w:ascii="Arial" w:eastAsia="Arial" w:hAnsi="Arial" w:cs="Arial"/>
          <w:sz w:val="22"/>
          <w:szCs w:val="22"/>
        </w:rPr>
        <w:t xml:space="preserve">(IDS) </w:t>
      </w:r>
      <w:r w:rsidRPr="00E619C8">
        <w:rPr>
          <w:rFonts w:ascii="Arial" w:eastAsia="Arial" w:hAnsi="Arial" w:cs="Arial"/>
          <w:sz w:val="22"/>
          <w:szCs w:val="22"/>
        </w:rPr>
        <w:t>or the Open Contracting for Infrastructure Data Standard</w:t>
      </w:r>
      <w:r w:rsidR="004A7A1C" w:rsidRPr="00E619C8">
        <w:rPr>
          <w:rFonts w:ascii="Arial" w:eastAsia="Arial" w:hAnsi="Arial" w:cs="Arial"/>
          <w:sz w:val="22"/>
          <w:szCs w:val="22"/>
        </w:rPr>
        <w:t xml:space="preserve"> (OC4IDS)</w:t>
      </w:r>
      <w:r w:rsidRPr="00E619C8">
        <w:rPr>
          <w:rFonts w:ascii="Arial" w:eastAsia="Arial" w:hAnsi="Arial" w:cs="Arial"/>
          <w:sz w:val="22"/>
          <w:szCs w:val="22"/>
        </w:rPr>
        <w:t>. It has one variable, six sub-variables and 44 indicators. The complete list of indicators is provided in Annex 1. The variable and sub-variables of the dimension are:</w:t>
      </w:r>
    </w:p>
    <w:p w14:paraId="6F5BAF59" w14:textId="77777777" w:rsidR="002033A5" w:rsidRPr="00E619C8" w:rsidRDefault="00E113EC">
      <w:pPr>
        <w:numPr>
          <w:ilvl w:val="0"/>
          <w:numId w:val="22"/>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 xml:space="preserve">Disclosure practices </w:t>
      </w:r>
    </w:p>
    <w:p w14:paraId="2B62E32B" w14:textId="77777777" w:rsidR="002033A5" w:rsidRPr="00E619C8" w:rsidRDefault="00E113EC">
      <w:pPr>
        <w:numPr>
          <w:ilvl w:val="1"/>
          <w:numId w:val="22"/>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Project identification</w:t>
      </w:r>
    </w:p>
    <w:p w14:paraId="0BB1A970" w14:textId="77777777" w:rsidR="002033A5" w:rsidRPr="00E619C8" w:rsidRDefault="00E113EC">
      <w:pPr>
        <w:numPr>
          <w:ilvl w:val="1"/>
          <w:numId w:val="22"/>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Project preparation</w:t>
      </w:r>
    </w:p>
    <w:p w14:paraId="39BDE5BC" w14:textId="77777777" w:rsidR="002033A5" w:rsidRPr="00E619C8" w:rsidRDefault="00E113EC">
      <w:pPr>
        <w:numPr>
          <w:ilvl w:val="1"/>
          <w:numId w:val="22"/>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Construction contract procurement</w:t>
      </w:r>
    </w:p>
    <w:p w14:paraId="4523320A" w14:textId="77777777" w:rsidR="002033A5" w:rsidRPr="00E619C8" w:rsidRDefault="00E113EC">
      <w:pPr>
        <w:numPr>
          <w:ilvl w:val="1"/>
          <w:numId w:val="22"/>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 xml:space="preserve">Supervision contract procurement </w:t>
      </w:r>
    </w:p>
    <w:p w14:paraId="7243942E" w14:textId="77777777" w:rsidR="002033A5" w:rsidRPr="00E619C8" w:rsidRDefault="00E113EC">
      <w:pPr>
        <w:numPr>
          <w:ilvl w:val="1"/>
          <w:numId w:val="22"/>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Construction contract implementation</w:t>
      </w:r>
    </w:p>
    <w:p w14:paraId="25988DCB" w14:textId="77777777" w:rsidR="002033A5" w:rsidRPr="00E619C8" w:rsidRDefault="00E113EC">
      <w:pPr>
        <w:numPr>
          <w:ilvl w:val="1"/>
          <w:numId w:val="22"/>
        </w:num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Supervision contract implementation</w:t>
      </w:r>
    </w:p>
    <w:p w14:paraId="68845992" w14:textId="6FDEF25D"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All indicators of this dimension evaluate “n</w:t>
      </w:r>
      <w:r w:rsidRPr="00E619C8">
        <w:rPr>
          <w:rFonts w:ascii="Arial" w:eastAsia="Arial" w:hAnsi="Arial" w:cs="Arial"/>
          <w:sz w:val="22"/>
          <w:szCs w:val="22"/>
          <w:vertAlign w:val="subscript"/>
        </w:rPr>
        <w:t>p</w:t>
      </w:r>
      <w:r w:rsidRPr="00E619C8">
        <w:rPr>
          <w:rFonts w:ascii="Arial" w:eastAsia="Arial" w:hAnsi="Arial" w:cs="Arial"/>
          <w:sz w:val="22"/>
          <w:szCs w:val="22"/>
        </w:rPr>
        <w:t>” infrastructure projects developed by each of “n</w:t>
      </w:r>
      <w:r w:rsidRPr="00E619C8">
        <w:rPr>
          <w:rFonts w:ascii="Arial" w:eastAsia="Arial" w:hAnsi="Arial" w:cs="Arial"/>
          <w:sz w:val="22"/>
          <w:szCs w:val="22"/>
          <w:vertAlign w:val="subscript"/>
        </w:rPr>
        <w:t>e</w:t>
      </w:r>
      <w:r w:rsidRPr="00E619C8">
        <w:rPr>
          <w:rFonts w:ascii="Arial" w:eastAsia="Arial" w:hAnsi="Arial" w:cs="Arial"/>
          <w:sz w:val="22"/>
          <w:szCs w:val="22"/>
        </w:rPr>
        <w:t xml:space="preserve">” PEs. The dimension results offer feedback to the selected PEs to strengthen their information disclosure. The overall score </w:t>
      </w:r>
      <w:r w:rsidR="00A05661">
        <w:rPr>
          <w:rFonts w:ascii="Arial" w:eastAsia="Arial" w:hAnsi="Arial" w:cs="Arial"/>
          <w:sz w:val="22"/>
          <w:szCs w:val="22"/>
        </w:rPr>
        <w:t xml:space="preserve">for the dimension is obtained by averaging the weighted sum of the underlying indicators for each of the </w:t>
      </w:r>
      <w:r w:rsidRPr="00E619C8">
        <w:rPr>
          <w:rFonts w:ascii="Arial" w:eastAsia="Arial" w:hAnsi="Arial" w:cs="Arial"/>
          <w:sz w:val="22"/>
          <w:szCs w:val="22"/>
        </w:rPr>
        <w:t>“n</w:t>
      </w:r>
      <w:r w:rsidRPr="00E619C8">
        <w:rPr>
          <w:rFonts w:ascii="Arial" w:eastAsia="Arial" w:hAnsi="Arial" w:cs="Arial"/>
          <w:sz w:val="22"/>
          <w:szCs w:val="22"/>
          <w:vertAlign w:val="subscript"/>
        </w:rPr>
        <w:t>p</w:t>
      </w:r>
      <w:r w:rsidRPr="00E619C8">
        <w:rPr>
          <w:rFonts w:ascii="Arial" w:eastAsia="Arial" w:hAnsi="Arial" w:cs="Arial"/>
          <w:sz w:val="22"/>
          <w:szCs w:val="22"/>
        </w:rPr>
        <w:t>” projects.</w:t>
      </w:r>
    </w:p>
    <w:p w14:paraId="386D120D" w14:textId="3B85A01A"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The indices in this dimension are evaluated using information </w:t>
      </w:r>
      <w:r w:rsidR="00A05661">
        <w:rPr>
          <w:rFonts w:ascii="Arial" w:eastAsia="Arial" w:hAnsi="Arial" w:cs="Arial"/>
          <w:sz w:val="22"/>
          <w:szCs w:val="22"/>
        </w:rPr>
        <w:t>typically available from online sources, such as websites containing data on public infrastructure projects, public procurement, and other websites providing</w:t>
      </w:r>
      <w:r w:rsidRPr="00E619C8">
        <w:rPr>
          <w:rFonts w:ascii="Arial" w:eastAsia="Arial" w:hAnsi="Arial" w:cs="Arial"/>
          <w:sz w:val="22"/>
          <w:szCs w:val="22"/>
        </w:rPr>
        <w:t xml:space="preserve"> information </w:t>
      </w:r>
      <w:r w:rsidR="0010409B">
        <w:rPr>
          <w:rFonts w:ascii="Arial" w:eastAsia="Arial" w:hAnsi="Arial" w:cs="Arial"/>
          <w:sz w:val="22"/>
          <w:szCs w:val="22"/>
        </w:rPr>
        <w:t>related to these evaluation objects</w:t>
      </w:r>
      <w:r w:rsidRPr="00E619C8">
        <w:rPr>
          <w:rFonts w:ascii="Arial" w:eastAsia="Arial" w:hAnsi="Arial" w:cs="Arial"/>
          <w:sz w:val="22"/>
          <w:szCs w:val="22"/>
        </w:rPr>
        <w:t xml:space="preserve">. </w:t>
      </w:r>
    </w:p>
    <w:p w14:paraId="4B5A58A9" w14:textId="2C084DEE"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Table 1 below </w:t>
      </w:r>
      <w:r w:rsidR="00A05661">
        <w:rPr>
          <w:rFonts w:ascii="Arial" w:eastAsia="Arial" w:hAnsi="Arial" w:cs="Arial"/>
          <w:sz w:val="22"/>
          <w:szCs w:val="22"/>
        </w:rPr>
        <w:t>summarises</w:t>
      </w:r>
      <w:r w:rsidRPr="00E619C8">
        <w:rPr>
          <w:rFonts w:ascii="Arial" w:eastAsia="Arial" w:hAnsi="Arial" w:cs="Arial"/>
          <w:sz w:val="22"/>
          <w:szCs w:val="22"/>
        </w:rPr>
        <w:t xml:space="preserve"> </w:t>
      </w:r>
      <w:r w:rsidR="0010409B">
        <w:rPr>
          <w:rFonts w:ascii="Arial" w:eastAsia="Arial" w:hAnsi="Arial" w:cs="Arial"/>
          <w:sz w:val="22"/>
          <w:szCs w:val="22"/>
        </w:rPr>
        <w:t>the evaluation</w:t>
      </w:r>
      <w:r w:rsidRPr="00E619C8">
        <w:rPr>
          <w:rFonts w:ascii="Arial" w:eastAsia="Arial" w:hAnsi="Arial" w:cs="Arial"/>
          <w:sz w:val="22"/>
          <w:szCs w:val="22"/>
        </w:rPr>
        <w:t xml:space="preserve"> and the data collection methods adopted for each of the four dimensions.</w:t>
      </w:r>
    </w:p>
    <w:p w14:paraId="6408205D" w14:textId="77777777" w:rsidR="002033A5" w:rsidRPr="00E619C8" w:rsidRDefault="00E113EC">
      <w:pPr>
        <w:pBdr>
          <w:top w:val="nil"/>
          <w:left w:val="nil"/>
          <w:bottom w:val="nil"/>
          <w:right w:val="nil"/>
          <w:between w:val="nil"/>
        </w:pBdr>
        <w:spacing w:before="200" w:after="160" w:line="300" w:lineRule="auto"/>
        <w:jc w:val="both"/>
        <w:rPr>
          <w:rFonts w:ascii="Arial" w:eastAsia="Arial" w:hAnsi="Arial" w:cs="Arial"/>
          <w:sz w:val="22"/>
          <w:szCs w:val="22"/>
        </w:rPr>
      </w:pPr>
      <w:r w:rsidRPr="00E619C8">
        <w:rPr>
          <w:rFonts w:ascii="Arial" w:eastAsia="Arial" w:hAnsi="Arial" w:cs="Arial"/>
          <w:noProof/>
          <w:sz w:val="22"/>
          <w:szCs w:val="22"/>
        </w:rPr>
        <w:drawing>
          <wp:inline distT="114300" distB="114300" distL="114300" distR="114300" wp14:anchorId="3EE9C187" wp14:editId="28B231F5">
            <wp:extent cx="5731200" cy="1041400"/>
            <wp:effectExtent l="0" t="0" r="0" b="0"/>
            <wp:docPr id="1857035774" name="image45.png"/>
            <wp:cNvGraphicFramePr/>
            <a:graphic xmlns:a="http://schemas.openxmlformats.org/drawingml/2006/main">
              <a:graphicData uri="http://schemas.openxmlformats.org/drawingml/2006/picture">
                <pic:pic xmlns:pic="http://schemas.openxmlformats.org/drawingml/2006/picture">
                  <pic:nvPicPr>
                    <pic:cNvPr id="0" name="image45.png"/>
                    <pic:cNvPicPr preferRelativeResize="0"/>
                  </pic:nvPicPr>
                  <pic:blipFill>
                    <a:blip r:embed="rId22"/>
                    <a:srcRect/>
                    <a:stretch>
                      <a:fillRect/>
                    </a:stretch>
                  </pic:blipFill>
                  <pic:spPr>
                    <a:xfrm>
                      <a:off x="0" y="0"/>
                      <a:ext cx="5731200" cy="1041400"/>
                    </a:xfrm>
                    <a:prstGeom prst="rect">
                      <a:avLst/>
                    </a:prstGeom>
                    <a:ln/>
                  </pic:spPr>
                </pic:pic>
              </a:graphicData>
            </a:graphic>
          </wp:inline>
        </w:drawing>
      </w:r>
    </w:p>
    <w:p w14:paraId="015E6359" w14:textId="2F946E52" w:rsidR="004A7A1C" w:rsidRPr="00E619C8" w:rsidRDefault="00E113EC" w:rsidP="00E740DD">
      <w:pPr>
        <w:spacing w:after="160" w:line="300" w:lineRule="auto"/>
        <w:jc w:val="center"/>
        <w:rPr>
          <w:rFonts w:ascii="Arial" w:eastAsia="Arial" w:hAnsi="Arial" w:cs="Arial"/>
          <w:b/>
          <w:bCs/>
          <w:color w:val="C00000"/>
          <w:sz w:val="22"/>
          <w:szCs w:val="22"/>
        </w:rPr>
      </w:pPr>
      <w:r w:rsidRPr="00E619C8">
        <w:rPr>
          <w:rFonts w:ascii="Arial" w:eastAsia="Arial" w:hAnsi="Arial" w:cs="Arial"/>
          <w:sz w:val="22"/>
          <w:szCs w:val="22"/>
        </w:rPr>
        <w:t>Table 1. Summary of what is being evaluated and the data collection methods adopted for each ITI dimension</w:t>
      </w:r>
    </w:p>
    <w:p w14:paraId="1A172485" w14:textId="77777777" w:rsidR="0010409B" w:rsidRDefault="0010409B">
      <w:pPr>
        <w:rPr>
          <w:rFonts w:ascii="Arial" w:eastAsia="Arial" w:hAnsi="Arial" w:cs="Arial"/>
          <w:b/>
          <w:bCs/>
          <w:color w:val="C00000"/>
          <w:sz w:val="48"/>
          <w:szCs w:val="48"/>
        </w:rPr>
      </w:pPr>
      <w:bookmarkStart w:id="9" w:name="_Toc227235251"/>
      <w:r>
        <w:rPr>
          <w:rFonts w:ascii="Arial" w:eastAsia="Arial" w:hAnsi="Arial" w:cs="Arial"/>
          <w:b/>
          <w:bCs/>
          <w:color w:val="C00000"/>
          <w:sz w:val="48"/>
          <w:szCs w:val="48"/>
        </w:rPr>
        <w:br w:type="page"/>
      </w:r>
    </w:p>
    <w:p w14:paraId="579A3217" w14:textId="60182A2F" w:rsidR="002033A5" w:rsidRPr="00E619C8" w:rsidRDefault="00E113EC">
      <w:pPr>
        <w:pStyle w:val="Heading1"/>
        <w:pBdr>
          <w:top w:val="nil"/>
          <w:left w:val="nil"/>
          <w:bottom w:val="nil"/>
          <w:right w:val="nil"/>
          <w:between w:val="nil"/>
        </w:pBdr>
        <w:spacing w:before="120" w:after="240" w:line="276" w:lineRule="auto"/>
        <w:rPr>
          <w:rFonts w:ascii="Arial" w:eastAsia="Arial" w:hAnsi="Arial" w:cs="Arial"/>
          <w:b/>
          <w:bCs/>
          <w:color w:val="C00000"/>
          <w:sz w:val="22"/>
          <w:szCs w:val="22"/>
        </w:rPr>
      </w:pPr>
      <w:r w:rsidRPr="00E619C8">
        <w:rPr>
          <w:rFonts w:ascii="Arial" w:eastAsia="Arial" w:hAnsi="Arial" w:cs="Arial"/>
          <w:b/>
          <w:bCs/>
          <w:color w:val="C00000"/>
          <w:sz w:val="48"/>
          <w:szCs w:val="48"/>
        </w:rPr>
        <w:t>Chapter 2</w:t>
      </w:r>
      <w:r w:rsidRPr="00E619C8">
        <w:rPr>
          <w:rFonts w:ascii="Arial" w:eastAsia="Arial" w:hAnsi="Arial" w:cs="Arial"/>
          <w:b/>
          <w:bCs/>
          <w:color w:val="C00000"/>
        </w:rPr>
        <w:t xml:space="preserve"> </w:t>
      </w:r>
      <w:r w:rsidRPr="00E619C8">
        <w:rPr>
          <w:rFonts w:ascii="Arial" w:eastAsia="Arial" w:hAnsi="Arial" w:cs="Arial"/>
          <w:b/>
          <w:bCs/>
          <w:color w:val="C00000"/>
          <w:sz w:val="48"/>
          <w:szCs w:val="48"/>
        </w:rPr>
        <w:t>| Methodology</w:t>
      </w:r>
      <w:bookmarkEnd w:id="9"/>
      <w:r w:rsidRPr="00E619C8">
        <w:rPr>
          <w:rFonts w:ascii="Monda" w:eastAsia="Monda" w:hAnsi="Monda" w:cs="Monda"/>
          <w:b/>
          <w:bCs/>
          <w:color w:val="C00000"/>
        </w:rPr>
        <w:t xml:space="preserve"> </w:t>
      </w:r>
    </w:p>
    <w:p w14:paraId="51807897" w14:textId="77777777" w:rsidR="002033A5" w:rsidRPr="00E619C8" w:rsidRDefault="00E113EC">
      <w:pPr>
        <w:pStyle w:val="Heading2"/>
        <w:pBdr>
          <w:top w:val="nil"/>
          <w:left w:val="nil"/>
          <w:bottom w:val="nil"/>
          <w:right w:val="nil"/>
          <w:between w:val="nil"/>
        </w:pBdr>
        <w:spacing w:before="320" w:after="160" w:line="276" w:lineRule="auto"/>
        <w:jc w:val="both"/>
        <w:rPr>
          <w:rFonts w:ascii="Arial" w:eastAsia="Arial" w:hAnsi="Arial" w:cs="Arial"/>
          <w:sz w:val="22"/>
          <w:szCs w:val="22"/>
        </w:rPr>
      </w:pPr>
      <w:bookmarkStart w:id="10" w:name="_Toc227235252"/>
      <w:r w:rsidRPr="00E619C8">
        <w:rPr>
          <w:rFonts w:ascii="Arial" w:eastAsia="Arial" w:hAnsi="Arial" w:cs="Arial"/>
          <w:b/>
          <w:bCs/>
          <w:color w:val="C00000"/>
          <w:sz w:val="28"/>
          <w:szCs w:val="28"/>
        </w:rPr>
        <w:t>2.1 Evaluation process</w:t>
      </w:r>
      <w:bookmarkEnd w:id="10"/>
      <w:r w:rsidRPr="00E619C8">
        <w:rPr>
          <w:rFonts w:ascii="Arial" w:eastAsia="Arial" w:hAnsi="Arial" w:cs="Arial"/>
          <w:b/>
          <w:bCs/>
          <w:color w:val="C00000"/>
          <w:sz w:val="28"/>
          <w:szCs w:val="28"/>
        </w:rPr>
        <w:t xml:space="preserve"> </w:t>
      </w:r>
    </w:p>
    <w:p w14:paraId="489F29B3" w14:textId="28C6F556"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Each of the four ITI dimensions </w:t>
      </w:r>
      <w:r w:rsidR="006A447C">
        <w:rPr>
          <w:rFonts w:ascii="Arial" w:eastAsia="Arial" w:hAnsi="Arial" w:cs="Arial"/>
          <w:sz w:val="22"/>
          <w:szCs w:val="22"/>
        </w:rPr>
        <w:t>has its</w:t>
      </w:r>
      <w:r w:rsidRPr="00E619C8">
        <w:rPr>
          <w:rFonts w:ascii="Arial" w:eastAsia="Arial" w:hAnsi="Arial" w:cs="Arial"/>
          <w:sz w:val="22"/>
          <w:szCs w:val="22"/>
        </w:rPr>
        <w:t xml:space="preserve"> own evaluation process, as follows.</w:t>
      </w:r>
    </w:p>
    <w:p w14:paraId="1D0F80A3" w14:textId="77777777" w:rsidR="002033A5" w:rsidRPr="00E619C8" w:rsidRDefault="00E113EC">
      <w:pPr>
        <w:pBdr>
          <w:top w:val="nil"/>
          <w:left w:val="nil"/>
          <w:bottom w:val="nil"/>
          <w:right w:val="nil"/>
          <w:between w:val="nil"/>
        </w:pBdr>
        <w:spacing w:after="160" w:line="300" w:lineRule="auto"/>
        <w:jc w:val="both"/>
        <w:rPr>
          <w:rFonts w:ascii="Arial" w:eastAsia="Arial" w:hAnsi="Arial" w:cs="Arial"/>
          <w:b/>
          <w:bCs/>
          <w:sz w:val="22"/>
          <w:szCs w:val="22"/>
        </w:rPr>
      </w:pPr>
      <w:r w:rsidRPr="00E619C8">
        <w:rPr>
          <w:rFonts w:ascii="Arial" w:eastAsia="Arial" w:hAnsi="Arial" w:cs="Arial"/>
          <w:b/>
          <w:bCs/>
          <w:sz w:val="22"/>
          <w:szCs w:val="22"/>
        </w:rPr>
        <w:t>Dimension 1: Enabling environment</w:t>
      </w:r>
    </w:p>
    <w:p w14:paraId="76C6A110" w14:textId="32464E6F"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Dimension 1 assessed the national conditions </w:t>
      </w:r>
      <w:r w:rsidR="00A05661">
        <w:rPr>
          <w:rFonts w:ascii="Arial" w:eastAsia="Arial" w:hAnsi="Arial" w:cs="Arial"/>
          <w:sz w:val="22"/>
          <w:szCs w:val="22"/>
        </w:rPr>
        <w:t>that enable transparency in</w:t>
      </w:r>
      <w:r w:rsidRPr="00E619C8">
        <w:rPr>
          <w:rFonts w:ascii="Arial" w:eastAsia="Arial" w:hAnsi="Arial" w:cs="Arial"/>
          <w:sz w:val="22"/>
          <w:szCs w:val="22"/>
        </w:rPr>
        <w:t xml:space="preserve"> the infrastructure sector. Its indicators were determined through desktop research. Each indicator required </w:t>
      </w:r>
      <w:r w:rsidR="00A05661">
        <w:rPr>
          <w:rFonts w:ascii="Arial" w:eastAsia="Arial" w:hAnsi="Arial" w:cs="Arial"/>
          <w:sz w:val="22"/>
          <w:szCs w:val="22"/>
        </w:rPr>
        <w:t xml:space="preserve">input from at least two evaluators, who independently conducted an initial evaluation with supporting evidence to avoid </w:t>
      </w:r>
      <w:r w:rsidRPr="00E619C8">
        <w:rPr>
          <w:rFonts w:ascii="Arial" w:eastAsia="Arial" w:hAnsi="Arial" w:cs="Arial"/>
          <w:sz w:val="22"/>
          <w:szCs w:val="22"/>
        </w:rPr>
        <w:t xml:space="preserve">bias. </w:t>
      </w:r>
    </w:p>
    <w:p w14:paraId="3D1DD754" w14:textId="400C80EA"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If the results from both evaluators for each indicator were the same, then the results were considered final. If there was a difference between them, </w:t>
      </w:r>
      <w:r w:rsidR="00A05661">
        <w:rPr>
          <w:rFonts w:ascii="Arial" w:eastAsia="Arial" w:hAnsi="Arial" w:cs="Arial"/>
          <w:sz w:val="22"/>
          <w:szCs w:val="22"/>
        </w:rPr>
        <w:t>a third evaluator resolved it</w:t>
      </w:r>
      <w:r w:rsidRPr="00E619C8">
        <w:rPr>
          <w:rFonts w:ascii="Arial" w:eastAsia="Arial" w:hAnsi="Arial" w:cs="Arial"/>
          <w:sz w:val="22"/>
          <w:szCs w:val="22"/>
        </w:rPr>
        <w:t>. This third evaluation coincided with one of the first two</w:t>
      </w:r>
      <w:r w:rsidR="00A05661">
        <w:rPr>
          <w:rFonts w:ascii="Arial" w:eastAsia="Arial" w:hAnsi="Arial" w:cs="Arial"/>
          <w:sz w:val="22"/>
          <w:szCs w:val="22"/>
        </w:rPr>
        <w:t xml:space="preserve"> and was considered the final score</w:t>
      </w:r>
      <w:r w:rsidRPr="00E619C8">
        <w:rPr>
          <w:rFonts w:ascii="Arial" w:eastAsia="Arial" w:hAnsi="Arial" w:cs="Arial"/>
          <w:sz w:val="22"/>
          <w:szCs w:val="22"/>
        </w:rPr>
        <w:t>.</w:t>
      </w:r>
    </w:p>
    <w:p w14:paraId="3CDA7660" w14:textId="106DD80F"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The quality of the collected data in dimension 1 was </w:t>
      </w:r>
      <w:r w:rsidR="00A05661">
        <w:rPr>
          <w:rFonts w:ascii="Arial" w:eastAsia="Arial" w:hAnsi="Arial" w:cs="Arial"/>
          <w:sz w:val="22"/>
          <w:szCs w:val="22"/>
        </w:rPr>
        <w:t xml:space="preserve">ensured by this approach, which ensured that </w:t>
      </w:r>
      <w:r w:rsidR="005D7DEE">
        <w:rPr>
          <w:rFonts w:ascii="Arial" w:eastAsia="Arial" w:hAnsi="Arial" w:cs="Arial"/>
          <w:sz w:val="22"/>
          <w:szCs w:val="22"/>
        </w:rPr>
        <w:t>two different evaluators independently obtained the same observation</w:t>
      </w:r>
      <w:r w:rsidRPr="00E619C8">
        <w:rPr>
          <w:rFonts w:ascii="Arial" w:eastAsia="Arial" w:hAnsi="Arial" w:cs="Arial"/>
          <w:sz w:val="22"/>
          <w:szCs w:val="22"/>
        </w:rPr>
        <w:t>.</w:t>
      </w:r>
    </w:p>
    <w:p w14:paraId="23FC17F2" w14:textId="77777777" w:rsidR="002033A5" w:rsidRPr="00E619C8" w:rsidRDefault="00E113EC">
      <w:pPr>
        <w:pBdr>
          <w:top w:val="nil"/>
          <w:left w:val="nil"/>
          <w:bottom w:val="nil"/>
          <w:right w:val="nil"/>
          <w:between w:val="nil"/>
        </w:pBdr>
        <w:spacing w:after="160" w:line="300" w:lineRule="auto"/>
        <w:jc w:val="both"/>
        <w:rPr>
          <w:rFonts w:ascii="Arial" w:eastAsia="Arial" w:hAnsi="Arial" w:cs="Arial"/>
          <w:b/>
          <w:bCs/>
          <w:sz w:val="22"/>
          <w:szCs w:val="22"/>
        </w:rPr>
      </w:pPr>
      <w:r w:rsidRPr="00E619C8">
        <w:rPr>
          <w:rFonts w:ascii="Arial" w:eastAsia="Arial" w:hAnsi="Arial" w:cs="Arial"/>
          <w:b/>
          <w:bCs/>
          <w:sz w:val="22"/>
          <w:szCs w:val="22"/>
        </w:rPr>
        <w:t>Dimension 2: Capacities and processes</w:t>
      </w:r>
    </w:p>
    <w:p w14:paraId="192F54F1" w14:textId="0BBA3E9F"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Dimension 2 assessed the soundness of a </w:t>
      </w:r>
      <w:r w:rsidR="00A05661">
        <w:rPr>
          <w:rFonts w:ascii="Arial" w:eastAsia="Arial" w:hAnsi="Arial" w:cs="Arial"/>
          <w:sz w:val="22"/>
          <w:szCs w:val="22"/>
        </w:rPr>
        <w:t>PE's</w:t>
      </w:r>
      <w:r w:rsidRPr="00E619C8">
        <w:rPr>
          <w:rFonts w:ascii="Arial" w:eastAsia="Arial" w:hAnsi="Arial" w:cs="Arial"/>
          <w:sz w:val="22"/>
          <w:szCs w:val="22"/>
        </w:rPr>
        <w:t xml:space="preserve"> procedures and capacities to </w:t>
      </w:r>
      <w:r w:rsidR="005D0311" w:rsidRPr="00E619C8">
        <w:rPr>
          <w:rFonts w:ascii="Arial" w:eastAsia="Arial" w:hAnsi="Arial" w:cs="Arial"/>
          <w:sz w:val="22"/>
          <w:szCs w:val="22"/>
        </w:rPr>
        <w:t xml:space="preserve">publish </w:t>
      </w:r>
      <w:r w:rsidRPr="00E619C8">
        <w:rPr>
          <w:rFonts w:ascii="Arial" w:eastAsia="Arial" w:hAnsi="Arial" w:cs="Arial"/>
          <w:sz w:val="22"/>
          <w:szCs w:val="22"/>
        </w:rPr>
        <w:t xml:space="preserve">data and information. Its indicators were evaluated through a survey that was completed once by an officer </w:t>
      </w:r>
      <w:r w:rsidR="00BF45CF" w:rsidRPr="00E619C8">
        <w:rPr>
          <w:rFonts w:ascii="Arial" w:eastAsia="Arial" w:hAnsi="Arial" w:cs="Arial"/>
          <w:sz w:val="22"/>
          <w:szCs w:val="22"/>
        </w:rPr>
        <w:t xml:space="preserve">or group of officers </w:t>
      </w:r>
      <w:r w:rsidRPr="00E619C8">
        <w:rPr>
          <w:rFonts w:ascii="Arial" w:eastAsia="Arial" w:hAnsi="Arial" w:cs="Arial"/>
          <w:sz w:val="22"/>
          <w:szCs w:val="22"/>
        </w:rPr>
        <w:t xml:space="preserve">at </w:t>
      </w:r>
      <w:r w:rsidR="00BF45CF" w:rsidRPr="00E619C8">
        <w:rPr>
          <w:rFonts w:ascii="Arial" w:eastAsia="Arial" w:hAnsi="Arial" w:cs="Arial"/>
          <w:sz w:val="22"/>
          <w:szCs w:val="22"/>
        </w:rPr>
        <w:t xml:space="preserve">each </w:t>
      </w:r>
      <w:r w:rsidRPr="00E619C8">
        <w:rPr>
          <w:rFonts w:ascii="Arial" w:eastAsia="Arial" w:hAnsi="Arial" w:cs="Arial"/>
          <w:sz w:val="22"/>
          <w:szCs w:val="22"/>
        </w:rPr>
        <w:t>PE</w:t>
      </w:r>
      <w:r w:rsidRPr="00E619C8">
        <w:rPr>
          <w:rFonts w:ascii="Arial" w:eastAsia="Arial" w:hAnsi="Arial" w:cs="Arial"/>
          <w:sz w:val="22"/>
          <w:szCs w:val="22"/>
          <w:vertAlign w:val="superscript"/>
        </w:rPr>
        <w:footnoteReference w:id="3"/>
      </w:r>
      <w:r w:rsidRPr="00E619C8">
        <w:rPr>
          <w:rFonts w:ascii="Arial" w:eastAsia="Arial" w:hAnsi="Arial" w:cs="Arial"/>
          <w:sz w:val="22"/>
          <w:szCs w:val="22"/>
        </w:rPr>
        <w:t xml:space="preserve">. The ITI </w:t>
      </w:r>
      <w:r w:rsidR="00350B2A" w:rsidRPr="00E619C8">
        <w:rPr>
          <w:rFonts w:ascii="Arial" w:eastAsia="Arial" w:hAnsi="Arial" w:cs="Arial"/>
          <w:sz w:val="22"/>
          <w:szCs w:val="22"/>
        </w:rPr>
        <w:t>looked</w:t>
      </w:r>
      <w:r w:rsidRPr="00E619C8">
        <w:rPr>
          <w:rFonts w:ascii="Arial" w:eastAsia="Arial" w:hAnsi="Arial" w:cs="Arial"/>
          <w:sz w:val="22"/>
          <w:szCs w:val="22"/>
        </w:rPr>
        <w:t xml:space="preserve"> for </w:t>
      </w:r>
      <w:r w:rsidR="00BF45CF" w:rsidRPr="00E619C8">
        <w:rPr>
          <w:rFonts w:ascii="Arial" w:eastAsia="Arial" w:hAnsi="Arial" w:cs="Arial"/>
          <w:sz w:val="22"/>
          <w:szCs w:val="22"/>
        </w:rPr>
        <w:t xml:space="preserve">people </w:t>
      </w:r>
      <w:r w:rsidR="00A05661">
        <w:rPr>
          <w:rFonts w:ascii="Arial" w:eastAsia="Arial" w:hAnsi="Arial" w:cs="Arial"/>
          <w:sz w:val="22"/>
          <w:szCs w:val="22"/>
        </w:rPr>
        <w:t>familiar with the principles of transparency, accountability, open data, citizen participation, collaboration,</w:t>
      </w:r>
      <w:r w:rsidRPr="00E619C8">
        <w:rPr>
          <w:rFonts w:ascii="Arial" w:eastAsia="Arial" w:hAnsi="Arial" w:cs="Arial"/>
          <w:sz w:val="22"/>
          <w:szCs w:val="22"/>
        </w:rPr>
        <w:t xml:space="preserve"> and innovation. </w:t>
      </w:r>
    </w:p>
    <w:p w14:paraId="47DA539A" w14:textId="204843CE"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The quality of </w:t>
      </w:r>
      <w:r w:rsidR="006D5B47">
        <w:rPr>
          <w:rFonts w:ascii="Arial" w:eastAsia="Arial" w:hAnsi="Arial" w:cs="Arial"/>
          <w:sz w:val="22"/>
          <w:szCs w:val="22"/>
        </w:rPr>
        <w:t xml:space="preserve">the survey data </w:t>
      </w:r>
      <w:r w:rsidRPr="00E619C8">
        <w:rPr>
          <w:rFonts w:ascii="Arial" w:eastAsia="Arial" w:hAnsi="Arial" w:cs="Arial"/>
          <w:sz w:val="22"/>
          <w:szCs w:val="22"/>
        </w:rPr>
        <w:t>was verified by triangulating the results with other sources of information. These include the following.</w:t>
      </w:r>
    </w:p>
    <w:p w14:paraId="1DC621AD" w14:textId="5841A594" w:rsidR="002033A5" w:rsidRPr="00E619C8" w:rsidRDefault="00E113EC">
      <w:pPr>
        <w:numPr>
          <w:ilvl w:val="0"/>
          <w:numId w:val="24"/>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 xml:space="preserve">Endorsement: Each officer </w:t>
      </w:r>
      <w:r w:rsidR="00A05661">
        <w:rPr>
          <w:rFonts w:ascii="Arial" w:eastAsia="Arial" w:hAnsi="Arial" w:cs="Arial"/>
          <w:sz w:val="22"/>
          <w:szCs w:val="22"/>
        </w:rPr>
        <w:t>who</w:t>
      </w:r>
      <w:r w:rsidRPr="00E619C8">
        <w:rPr>
          <w:rFonts w:ascii="Arial" w:eastAsia="Arial" w:hAnsi="Arial" w:cs="Arial"/>
          <w:sz w:val="22"/>
          <w:szCs w:val="22"/>
        </w:rPr>
        <w:t xml:space="preserve"> completed the survey endorsed the responses that </w:t>
      </w:r>
      <w:r w:rsidR="005D7DEE">
        <w:rPr>
          <w:rFonts w:ascii="Arial" w:eastAsia="Arial" w:hAnsi="Arial" w:cs="Arial"/>
          <w:sz w:val="22"/>
          <w:szCs w:val="22"/>
        </w:rPr>
        <w:t>they</w:t>
      </w:r>
      <w:r w:rsidRPr="00E619C8">
        <w:rPr>
          <w:rFonts w:ascii="Arial" w:eastAsia="Arial" w:hAnsi="Arial" w:cs="Arial"/>
          <w:sz w:val="22"/>
          <w:szCs w:val="22"/>
        </w:rPr>
        <w:t xml:space="preserve"> provided. Through the exchange of formal communications, this officer was also officially named by the PE to provide the information required by the ITI.</w:t>
      </w:r>
    </w:p>
    <w:p w14:paraId="6893EB0E" w14:textId="22A6D453" w:rsidR="00BF45CF" w:rsidRPr="00E619C8" w:rsidRDefault="00E113EC" w:rsidP="00BF45CF">
      <w:pPr>
        <w:numPr>
          <w:ilvl w:val="0"/>
          <w:numId w:val="24"/>
        </w:numPr>
        <w:pBdr>
          <w:top w:val="nil"/>
          <w:left w:val="nil"/>
          <w:bottom w:val="nil"/>
          <w:right w:val="nil"/>
          <w:between w:val="nil"/>
        </w:pBdr>
        <w:spacing w:line="300" w:lineRule="auto"/>
        <w:jc w:val="both"/>
        <w:rPr>
          <w:rFonts w:ascii="Arial" w:eastAsia="Arial" w:hAnsi="Arial" w:cs="Arial"/>
          <w:sz w:val="22"/>
          <w:szCs w:val="22"/>
        </w:rPr>
      </w:pPr>
      <w:r w:rsidRPr="00E619C8">
        <w:rPr>
          <w:rFonts w:ascii="Arial" w:eastAsia="Arial" w:hAnsi="Arial" w:cs="Arial"/>
          <w:sz w:val="22"/>
          <w:szCs w:val="22"/>
        </w:rPr>
        <w:t xml:space="preserve">Evidence that validates the assigned scores: Along with the survey responses, the officer also provided evidence (such as explanations, documents, websites, notice boards and newspapers) to validate </w:t>
      </w:r>
      <w:r w:rsidR="005D7DEE">
        <w:rPr>
          <w:rFonts w:ascii="Arial" w:eastAsia="Arial" w:hAnsi="Arial" w:cs="Arial"/>
          <w:sz w:val="22"/>
          <w:szCs w:val="22"/>
        </w:rPr>
        <w:t>their</w:t>
      </w:r>
      <w:r w:rsidRPr="00E619C8">
        <w:rPr>
          <w:rFonts w:ascii="Arial" w:eastAsia="Arial" w:hAnsi="Arial" w:cs="Arial"/>
          <w:sz w:val="22"/>
          <w:szCs w:val="22"/>
        </w:rPr>
        <w:t xml:space="preserve"> response to each question of the survey. </w:t>
      </w:r>
      <w:r w:rsidR="005D7DEE">
        <w:rPr>
          <w:rFonts w:ascii="Arial" w:eastAsia="Arial" w:hAnsi="Arial" w:cs="Arial"/>
          <w:sz w:val="22"/>
          <w:szCs w:val="22"/>
        </w:rPr>
        <w:t>The evaluation team reviewed this information</w:t>
      </w:r>
      <w:r w:rsidRPr="00E619C8">
        <w:rPr>
          <w:rFonts w:ascii="Arial" w:eastAsia="Arial" w:hAnsi="Arial" w:cs="Arial"/>
          <w:sz w:val="22"/>
          <w:szCs w:val="22"/>
        </w:rPr>
        <w:t xml:space="preserve">. If the information did not match the score assigned by the officer, the evaluation team either went back to the officer to </w:t>
      </w:r>
      <w:r w:rsidR="00A05661">
        <w:rPr>
          <w:rFonts w:ascii="Arial" w:eastAsia="Arial" w:hAnsi="Arial" w:cs="Arial"/>
          <w:sz w:val="22"/>
          <w:szCs w:val="22"/>
        </w:rPr>
        <w:t xml:space="preserve">request more information and/or adjusted the score based on the evidence </w:t>
      </w:r>
      <w:r w:rsidRPr="00E619C8">
        <w:rPr>
          <w:rFonts w:ascii="Arial" w:eastAsia="Arial" w:hAnsi="Arial" w:cs="Arial"/>
          <w:sz w:val="22"/>
          <w:szCs w:val="22"/>
        </w:rPr>
        <w:t xml:space="preserve">provided. </w:t>
      </w:r>
    </w:p>
    <w:p w14:paraId="7E42F686" w14:textId="77777777" w:rsidR="006D5B47" w:rsidRDefault="006D5B47" w:rsidP="002C7F6B">
      <w:pPr>
        <w:pBdr>
          <w:top w:val="nil"/>
          <w:left w:val="nil"/>
          <w:bottom w:val="nil"/>
          <w:right w:val="nil"/>
          <w:between w:val="nil"/>
        </w:pBdr>
        <w:spacing w:before="240" w:after="160" w:line="300" w:lineRule="auto"/>
        <w:jc w:val="both"/>
        <w:rPr>
          <w:rFonts w:ascii="Arial" w:eastAsia="Arial" w:hAnsi="Arial" w:cs="Arial"/>
          <w:b/>
          <w:bCs/>
          <w:sz w:val="22"/>
          <w:szCs w:val="22"/>
        </w:rPr>
      </w:pPr>
    </w:p>
    <w:p w14:paraId="79F968E2" w14:textId="6930553D" w:rsidR="002033A5" w:rsidRPr="00E619C8" w:rsidRDefault="00E113EC" w:rsidP="002C7F6B">
      <w:pPr>
        <w:pBdr>
          <w:top w:val="nil"/>
          <w:left w:val="nil"/>
          <w:bottom w:val="nil"/>
          <w:right w:val="nil"/>
          <w:between w:val="nil"/>
        </w:pBdr>
        <w:spacing w:before="240" w:after="160" w:line="300" w:lineRule="auto"/>
        <w:jc w:val="both"/>
        <w:rPr>
          <w:rFonts w:ascii="Arial" w:eastAsia="Arial" w:hAnsi="Arial" w:cs="Arial"/>
          <w:b/>
          <w:bCs/>
          <w:sz w:val="22"/>
          <w:szCs w:val="22"/>
        </w:rPr>
      </w:pPr>
      <w:r w:rsidRPr="00E619C8">
        <w:rPr>
          <w:rFonts w:ascii="Arial" w:eastAsia="Arial" w:hAnsi="Arial" w:cs="Arial"/>
          <w:b/>
          <w:bCs/>
          <w:sz w:val="22"/>
          <w:szCs w:val="22"/>
        </w:rPr>
        <w:t>Dimension 3: Citizen participation</w:t>
      </w:r>
    </w:p>
    <w:p w14:paraId="70398E66" w14:textId="03011123"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Dimension 3 assesse</w:t>
      </w:r>
      <w:r w:rsidR="00BF45CF" w:rsidRPr="00E619C8">
        <w:rPr>
          <w:rFonts w:ascii="Arial" w:eastAsia="Arial" w:hAnsi="Arial" w:cs="Arial"/>
          <w:sz w:val="22"/>
          <w:szCs w:val="22"/>
        </w:rPr>
        <w:t>d</w:t>
      </w:r>
      <w:r w:rsidRPr="00E619C8">
        <w:rPr>
          <w:rFonts w:ascii="Arial" w:eastAsia="Arial" w:hAnsi="Arial" w:cs="Arial"/>
          <w:sz w:val="22"/>
          <w:szCs w:val="22"/>
        </w:rPr>
        <w:t xml:space="preserve"> both the opportunities provided by PEs for citizen participation and </w:t>
      </w:r>
      <w:r w:rsidR="00A05661">
        <w:rPr>
          <w:rFonts w:ascii="Arial" w:eastAsia="Arial" w:hAnsi="Arial" w:cs="Arial"/>
          <w:sz w:val="22"/>
          <w:szCs w:val="22"/>
        </w:rPr>
        <w:t xml:space="preserve">citizens' use of </w:t>
      </w:r>
      <w:r w:rsidR="00A2031B" w:rsidRPr="00E619C8">
        <w:rPr>
          <w:rFonts w:ascii="Arial" w:eastAsia="Arial" w:hAnsi="Arial" w:cs="Arial"/>
          <w:sz w:val="22"/>
          <w:szCs w:val="22"/>
        </w:rPr>
        <w:t xml:space="preserve">published </w:t>
      </w:r>
      <w:r w:rsidRPr="00E619C8">
        <w:rPr>
          <w:rFonts w:ascii="Arial" w:eastAsia="Arial" w:hAnsi="Arial" w:cs="Arial"/>
          <w:sz w:val="22"/>
          <w:szCs w:val="22"/>
        </w:rPr>
        <w:t xml:space="preserve">public information. Its indicators are evaluated through the same survey </w:t>
      </w:r>
      <w:r w:rsidR="00A05661">
        <w:rPr>
          <w:rFonts w:ascii="Arial" w:eastAsia="Arial" w:hAnsi="Arial" w:cs="Arial"/>
          <w:sz w:val="22"/>
          <w:szCs w:val="22"/>
        </w:rPr>
        <w:t>completed by the officer or group of officers for</w:t>
      </w:r>
      <w:r w:rsidRPr="00E619C8">
        <w:rPr>
          <w:rFonts w:ascii="Arial" w:eastAsia="Arial" w:hAnsi="Arial" w:cs="Arial"/>
          <w:sz w:val="22"/>
          <w:szCs w:val="22"/>
        </w:rPr>
        <w:t xml:space="preserve"> each PE.</w:t>
      </w:r>
    </w:p>
    <w:p w14:paraId="6B18D943" w14:textId="402AA15E"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The survey </w:t>
      </w:r>
      <w:r w:rsidR="00BF45CF" w:rsidRPr="00E619C8">
        <w:rPr>
          <w:rFonts w:ascii="Arial" w:eastAsia="Arial" w:hAnsi="Arial" w:cs="Arial"/>
          <w:sz w:val="22"/>
          <w:szCs w:val="22"/>
        </w:rPr>
        <w:t xml:space="preserve">was </w:t>
      </w:r>
      <w:r w:rsidRPr="00E619C8">
        <w:rPr>
          <w:rFonts w:ascii="Arial" w:eastAsia="Arial" w:hAnsi="Arial" w:cs="Arial"/>
          <w:sz w:val="22"/>
          <w:szCs w:val="22"/>
        </w:rPr>
        <w:t xml:space="preserve">undertaken either through self-assessment or interview. </w:t>
      </w:r>
    </w:p>
    <w:p w14:paraId="3353C312" w14:textId="5AFB281B" w:rsidR="002033A5" w:rsidRPr="00E619C8" w:rsidRDefault="00E113EC">
      <w:pPr>
        <w:pBdr>
          <w:top w:val="nil"/>
          <w:left w:val="nil"/>
          <w:bottom w:val="nil"/>
          <w:right w:val="nil"/>
          <w:between w:val="nil"/>
        </w:pBdr>
        <w:spacing w:after="160" w:line="300" w:lineRule="auto"/>
        <w:jc w:val="both"/>
        <w:rPr>
          <w:rFonts w:ascii="Arial" w:eastAsia="Arial" w:hAnsi="Arial" w:cs="Arial"/>
          <w:b/>
          <w:bCs/>
          <w:sz w:val="22"/>
          <w:szCs w:val="22"/>
        </w:rPr>
      </w:pPr>
      <w:r w:rsidRPr="00E619C8">
        <w:rPr>
          <w:rFonts w:ascii="Arial" w:eastAsia="Arial" w:hAnsi="Arial" w:cs="Arial"/>
          <w:b/>
          <w:bCs/>
          <w:sz w:val="22"/>
          <w:szCs w:val="22"/>
        </w:rPr>
        <w:t xml:space="preserve">Dimension 4: Information </w:t>
      </w:r>
      <w:r w:rsidR="00A2031B" w:rsidRPr="00E619C8">
        <w:rPr>
          <w:rFonts w:ascii="Arial" w:eastAsia="Arial" w:hAnsi="Arial" w:cs="Arial"/>
          <w:b/>
          <w:bCs/>
          <w:sz w:val="22"/>
          <w:szCs w:val="22"/>
        </w:rPr>
        <w:t>publication</w:t>
      </w:r>
    </w:p>
    <w:p w14:paraId="2F6F5A63" w14:textId="6B0225D8"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Dimension 4 assesse</w:t>
      </w:r>
      <w:r w:rsidR="00BF45CF" w:rsidRPr="00E619C8">
        <w:rPr>
          <w:rFonts w:ascii="Arial" w:eastAsia="Arial" w:hAnsi="Arial" w:cs="Arial"/>
          <w:sz w:val="22"/>
          <w:szCs w:val="22"/>
        </w:rPr>
        <w:t>d</w:t>
      </w:r>
      <w:r w:rsidRPr="00E619C8">
        <w:rPr>
          <w:rFonts w:ascii="Arial" w:eastAsia="Arial" w:hAnsi="Arial" w:cs="Arial"/>
          <w:sz w:val="22"/>
          <w:szCs w:val="22"/>
        </w:rPr>
        <w:t xml:space="preserve"> the scope, quantity</w:t>
      </w:r>
      <w:r w:rsidR="00A05661">
        <w:rPr>
          <w:rFonts w:ascii="Arial" w:eastAsia="Arial" w:hAnsi="Arial" w:cs="Arial"/>
          <w:sz w:val="22"/>
          <w:szCs w:val="22"/>
        </w:rPr>
        <w:t>, and quality of data and information published by the selected PEs in accordance with</w:t>
      </w:r>
      <w:r w:rsidRPr="00E619C8">
        <w:rPr>
          <w:rFonts w:ascii="Arial" w:eastAsia="Arial" w:hAnsi="Arial" w:cs="Arial"/>
          <w:sz w:val="22"/>
          <w:szCs w:val="22"/>
        </w:rPr>
        <w:t xml:space="preserve"> the CoST Infrastructure Data Standard or the OC4IDS. Its indicators are evaluated through desktop research. These indicators require two or three evaluators, as in Dimension 1. Assessments of the quality of the collected data </w:t>
      </w:r>
      <w:r w:rsidR="00BF45CF" w:rsidRPr="00E619C8">
        <w:rPr>
          <w:rFonts w:ascii="Arial" w:eastAsia="Arial" w:hAnsi="Arial" w:cs="Arial"/>
          <w:sz w:val="22"/>
          <w:szCs w:val="22"/>
        </w:rPr>
        <w:t xml:space="preserve">were </w:t>
      </w:r>
      <w:r w:rsidRPr="00E619C8">
        <w:rPr>
          <w:rFonts w:ascii="Arial" w:eastAsia="Arial" w:hAnsi="Arial" w:cs="Arial"/>
          <w:sz w:val="22"/>
          <w:szCs w:val="22"/>
        </w:rPr>
        <w:t xml:space="preserve">derived </w:t>
      </w:r>
      <w:r w:rsidR="00A05661">
        <w:rPr>
          <w:rFonts w:ascii="Arial" w:eastAsia="Arial" w:hAnsi="Arial" w:cs="Arial"/>
          <w:sz w:val="22"/>
          <w:szCs w:val="22"/>
        </w:rPr>
        <w:t>using the same method, in which a single observation is obtained through independent evaluations</w:t>
      </w:r>
      <w:r w:rsidRPr="00E619C8">
        <w:rPr>
          <w:rFonts w:ascii="Arial" w:eastAsia="Arial" w:hAnsi="Arial" w:cs="Arial"/>
          <w:sz w:val="22"/>
          <w:szCs w:val="22"/>
        </w:rPr>
        <w:t xml:space="preserve"> by two different people.</w:t>
      </w:r>
    </w:p>
    <w:p w14:paraId="5DEB616D" w14:textId="77777777" w:rsidR="002033A5" w:rsidRPr="00E619C8" w:rsidRDefault="00E113EC">
      <w:pPr>
        <w:pStyle w:val="Heading2"/>
        <w:pBdr>
          <w:top w:val="nil"/>
          <w:left w:val="nil"/>
          <w:bottom w:val="nil"/>
          <w:right w:val="nil"/>
          <w:between w:val="nil"/>
        </w:pBdr>
        <w:spacing w:before="320" w:after="160" w:line="276" w:lineRule="auto"/>
        <w:jc w:val="both"/>
        <w:rPr>
          <w:rFonts w:ascii="Arial" w:eastAsia="Arial" w:hAnsi="Arial" w:cs="Arial"/>
          <w:sz w:val="22"/>
          <w:szCs w:val="22"/>
        </w:rPr>
      </w:pPr>
      <w:bookmarkStart w:id="11" w:name="_Toc227235253"/>
      <w:r w:rsidRPr="00E619C8">
        <w:rPr>
          <w:rFonts w:ascii="Arial" w:eastAsia="Arial" w:hAnsi="Arial" w:cs="Arial"/>
          <w:b/>
          <w:bCs/>
          <w:color w:val="C00000"/>
          <w:sz w:val="28"/>
          <w:szCs w:val="28"/>
        </w:rPr>
        <w:t>2.2 Data collection</w:t>
      </w:r>
      <w:bookmarkEnd w:id="11"/>
    </w:p>
    <w:p w14:paraId="2A058E28" w14:textId="77777777" w:rsidR="002033A5" w:rsidRPr="00E619C8" w:rsidRDefault="00E113EC">
      <w:pPr>
        <w:pBdr>
          <w:top w:val="nil"/>
          <w:left w:val="nil"/>
          <w:bottom w:val="nil"/>
          <w:right w:val="nil"/>
          <w:between w:val="nil"/>
        </w:pBdr>
        <w:spacing w:after="160" w:line="300" w:lineRule="auto"/>
        <w:jc w:val="both"/>
        <w:rPr>
          <w:rFonts w:ascii="Arial" w:eastAsia="Arial" w:hAnsi="Arial" w:cs="Arial"/>
          <w:b/>
          <w:bCs/>
          <w:sz w:val="22"/>
          <w:szCs w:val="22"/>
        </w:rPr>
      </w:pPr>
      <w:r w:rsidRPr="00E619C8">
        <w:rPr>
          <w:rFonts w:ascii="Arial" w:eastAsia="Arial" w:hAnsi="Arial" w:cs="Arial"/>
          <w:b/>
          <w:bCs/>
          <w:sz w:val="22"/>
          <w:szCs w:val="22"/>
        </w:rPr>
        <w:t>Desktop research</w:t>
      </w:r>
    </w:p>
    <w:p w14:paraId="447B839C" w14:textId="0B355471" w:rsidR="002033A5" w:rsidRPr="00E619C8" w:rsidRDefault="00E113EC">
      <w:pPr>
        <w:spacing w:before="120" w:line="301" w:lineRule="auto"/>
        <w:jc w:val="both"/>
        <w:rPr>
          <w:rFonts w:ascii="Arial" w:eastAsia="Arial" w:hAnsi="Arial" w:cs="Arial"/>
          <w:sz w:val="22"/>
          <w:szCs w:val="22"/>
        </w:rPr>
      </w:pPr>
      <w:r w:rsidRPr="00E619C8">
        <w:rPr>
          <w:rFonts w:ascii="Arial" w:eastAsia="Arial" w:hAnsi="Arial" w:cs="Arial"/>
          <w:sz w:val="22"/>
          <w:szCs w:val="22"/>
        </w:rPr>
        <w:t xml:space="preserve">The </w:t>
      </w:r>
      <w:r w:rsidR="00BF45CF" w:rsidRPr="00E619C8">
        <w:rPr>
          <w:rFonts w:ascii="Arial" w:eastAsia="Arial" w:hAnsi="Arial" w:cs="Arial"/>
          <w:sz w:val="22"/>
          <w:szCs w:val="22"/>
        </w:rPr>
        <w:t>evaluation</w:t>
      </w:r>
      <w:r w:rsidRPr="00E619C8">
        <w:rPr>
          <w:rFonts w:ascii="Arial" w:eastAsia="Arial" w:hAnsi="Arial" w:cs="Arial"/>
          <w:sz w:val="22"/>
          <w:szCs w:val="22"/>
        </w:rPr>
        <w:t xml:space="preserve"> </w:t>
      </w:r>
      <w:r w:rsidR="00BF45CF" w:rsidRPr="00E619C8">
        <w:rPr>
          <w:rFonts w:ascii="Arial" w:eastAsia="Arial" w:hAnsi="Arial" w:cs="Arial"/>
          <w:sz w:val="22"/>
          <w:szCs w:val="22"/>
        </w:rPr>
        <w:t xml:space="preserve">of </w:t>
      </w:r>
      <w:r w:rsidRPr="00E619C8">
        <w:rPr>
          <w:rFonts w:ascii="Arial" w:eastAsia="Arial" w:hAnsi="Arial" w:cs="Arial"/>
          <w:sz w:val="22"/>
          <w:szCs w:val="22"/>
        </w:rPr>
        <w:t xml:space="preserve">Dimension 1 involved searching/browsing official government websites using a computer network. Indicators for each variable and sub-variable were linked if it could be </w:t>
      </w:r>
      <w:r w:rsidR="00A05661">
        <w:rPr>
          <w:rFonts w:ascii="Arial" w:eastAsia="Arial" w:hAnsi="Arial" w:cs="Arial"/>
          <w:sz w:val="22"/>
          <w:szCs w:val="22"/>
        </w:rPr>
        <w:t>demonstrated that we have regulations and policies supporting the publication of public information</w:t>
      </w:r>
      <w:r w:rsidRPr="00E619C8">
        <w:rPr>
          <w:rFonts w:ascii="Arial" w:eastAsia="Arial" w:hAnsi="Arial" w:cs="Arial"/>
          <w:sz w:val="22"/>
          <w:szCs w:val="22"/>
        </w:rPr>
        <w:t>.</w:t>
      </w:r>
    </w:p>
    <w:p w14:paraId="5174D508" w14:textId="0418F5A1" w:rsidR="002033A5" w:rsidRPr="00E619C8" w:rsidRDefault="00E113EC">
      <w:pPr>
        <w:spacing w:before="120" w:line="301" w:lineRule="auto"/>
        <w:jc w:val="both"/>
        <w:rPr>
          <w:rFonts w:ascii="Arial" w:eastAsia="Arial" w:hAnsi="Arial" w:cs="Arial"/>
          <w:sz w:val="22"/>
          <w:szCs w:val="22"/>
        </w:rPr>
      </w:pPr>
      <w:r w:rsidRPr="00E619C8">
        <w:rPr>
          <w:rFonts w:ascii="Arial" w:eastAsia="Arial" w:hAnsi="Arial" w:cs="Arial"/>
          <w:sz w:val="22"/>
          <w:szCs w:val="22"/>
        </w:rPr>
        <w:t xml:space="preserve">In Dimension 4, the survey </w:t>
      </w:r>
      <w:r w:rsidR="00A05661">
        <w:rPr>
          <w:rFonts w:ascii="Arial" w:eastAsia="Arial" w:hAnsi="Arial" w:cs="Arial"/>
          <w:sz w:val="22"/>
          <w:szCs w:val="22"/>
        </w:rPr>
        <w:t>collected project data from 2022 to 2025 via</w:t>
      </w:r>
      <w:r w:rsidRPr="00E619C8">
        <w:rPr>
          <w:rFonts w:ascii="Arial" w:eastAsia="Arial" w:hAnsi="Arial" w:cs="Arial"/>
          <w:sz w:val="22"/>
          <w:szCs w:val="22"/>
        </w:rPr>
        <w:t xml:space="preserve"> the official website of the West Nusa Tenggara Provincial Government, known as LPSE (Electronic Procurement Services). Sampling was conducted from the collected data. </w:t>
      </w:r>
      <w:r w:rsidR="00BF45CF" w:rsidRPr="00E619C8">
        <w:rPr>
          <w:rFonts w:ascii="Arial" w:eastAsia="Arial" w:hAnsi="Arial" w:cs="Arial"/>
          <w:sz w:val="22"/>
          <w:szCs w:val="22"/>
        </w:rPr>
        <w:t xml:space="preserve">One, two </w:t>
      </w:r>
      <w:r w:rsidRPr="00E619C8">
        <w:rPr>
          <w:rFonts w:ascii="Arial" w:eastAsia="Arial" w:hAnsi="Arial" w:cs="Arial"/>
          <w:sz w:val="22"/>
          <w:szCs w:val="22"/>
        </w:rPr>
        <w:t xml:space="preserve">or three projects were sampled from each agency during the </w:t>
      </w:r>
      <w:r w:rsidR="00350B2A" w:rsidRPr="00E619C8">
        <w:rPr>
          <w:rFonts w:ascii="Arial" w:eastAsia="Arial" w:hAnsi="Arial" w:cs="Arial"/>
          <w:sz w:val="22"/>
          <w:szCs w:val="22"/>
        </w:rPr>
        <w:t>period</w:t>
      </w:r>
      <w:r w:rsidRPr="00E619C8">
        <w:rPr>
          <w:rFonts w:ascii="Arial" w:eastAsia="Arial" w:hAnsi="Arial" w:cs="Arial"/>
          <w:sz w:val="22"/>
          <w:szCs w:val="22"/>
        </w:rPr>
        <w:t>. The first project was selected from the project with the highest contract value, followed by random sampling of the second or third projects.</w:t>
      </w:r>
      <w:r w:rsidR="00BF45CF" w:rsidRPr="00E619C8">
        <w:rPr>
          <w:rFonts w:ascii="Arial" w:eastAsia="Arial" w:hAnsi="Arial" w:cs="Arial"/>
          <w:sz w:val="22"/>
          <w:szCs w:val="22"/>
        </w:rPr>
        <w:t xml:space="preserve"> The number of projects per entity depended on the </w:t>
      </w:r>
      <w:r w:rsidR="00A05661">
        <w:rPr>
          <w:rFonts w:ascii="Arial" w:eastAsia="Arial" w:hAnsi="Arial" w:cs="Arial"/>
          <w:sz w:val="22"/>
          <w:szCs w:val="22"/>
        </w:rPr>
        <w:t>number</w:t>
      </w:r>
      <w:r w:rsidR="00BF45CF" w:rsidRPr="00E619C8">
        <w:rPr>
          <w:rFonts w:ascii="Arial" w:eastAsia="Arial" w:hAnsi="Arial" w:cs="Arial"/>
          <w:sz w:val="22"/>
          <w:szCs w:val="22"/>
        </w:rPr>
        <w:t xml:space="preserve"> of advanced infrastructure projects each entity had during the study period.  </w:t>
      </w:r>
    </w:p>
    <w:p w14:paraId="0A1D7A30" w14:textId="77777777" w:rsidR="002033A5" w:rsidRPr="00E619C8" w:rsidRDefault="00E113EC">
      <w:pPr>
        <w:spacing w:before="120" w:line="301" w:lineRule="auto"/>
        <w:jc w:val="both"/>
        <w:rPr>
          <w:rFonts w:ascii="Arial" w:eastAsia="Arial" w:hAnsi="Arial" w:cs="Arial"/>
          <w:sz w:val="22"/>
          <w:szCs w:val="22"/>
        </w:rPr>
      </w:pPr>
      <w:r w:rsidRPr="00E619C8">
        <w:rPr>
          <w:rFonts w:ascii="Arial" w:eastAsia="Arial" w:hAnsi="Arial" w:cs="Arial"/>
          <w:sz w:val="22"/>
          <w:szCs w:val="22"/>
        </w:rPr>
        <w:t>Projects one, two, or three were evaluated by examining indicators for predetermined variables. Project data was checked on the official website, specifically the LPSE page of the West Nusa Tenggara Provincial Government.</w:t>
      </w:r>
    </w:p>
    <w:p w14:paraId="27E53498" w14:textId="77777777" w:rsidR="002033A5" w:rsidRPr="00E619C8" w:rsidRDefault="00E113EC">
      <w:pPr>
        <w:spacing w:before="120" w:line="301" w:lineRule="auto"/>
        <w:jc w:val="both"/>
        <w:rPr>
          <w:rFonts w:ascii="Arial" w:eastAsia="Arial" w:hAnsi="Arial" w:cs="Arial"/>
          <w:sz w:val="22"/>
          <w:szCs w:val="22"/>
        </w:rPr>
      </w:pPr>
      <w:r w:rsidRPr="00E619C8">
        <w:rPr>
          <w:rFonts w:ascii="Arial" w:eastAsia="Arial" w:hAnsi="Arial" w:cs="Arial"/>
          <w:sz w:val="22"/>
          <w:szCs w:val="22"/>
        </w:rPr>
        <w:t>Several websites were used as data sources for the computer-based research, including:</w:t>
      </w:r>
    </w:p>
    <w:p w14:paraId="1F1F64B1" w14:textId="79EF24A7" w:rsidR="002033A5" w:rsidRPr="00E619C8" w:rsidRDefault="00E113EC">
      <w:pPr>
        <w:numPr>
          <w:ilvl w:val="0"/>
          <w:numId w:val="5"/>
        </w:numPr>
        <w:spacing w:before="120" w:line="301" w:lineRule="auto"/>
        <w:ind w:left="566" w:hanging="585"/>
        <w:jc w:val="both"/>
        <w:rPr>
          <w:rFonts w:ascii="Arial" w:eastAsia="Arial" w:hAnsi="Arial" w:cs="Arial"/>
          <w:sz w:val="22"/>
          <w:szCs w:val="22"/>
        </w:rPr>
      </w:pPr>
      <w:r w:rsidRPr="00E619C8">
        <w:rPr>
          <w:rFonts w:ascii="Arial" w:eastAsia="Arial" w:hAnsi="Arial" w:cs="Arial"/>
          <w:sz w:val="22"/>
          <w:szCs w:val="22"/>
        </w:rPr>
        <w:t xml:space="preserve">LPSE of West Nusa Tenggara Province. </w:t>
      </w:r>
      <w:hyperlink r:id="rId23" w:history="1">
        <w:r w:rsidR="005B7E21" w:rsidRPr="00E619C8">
          <w:rPr>
            <w:rStyle w:val="Hyperlink"/>
            <w:rFonts w:ascii="Arial" w:eastAsia="Arial" w:hAnsi="Arial" w:cs="Arial"/>
            <w:sz w:val="22"/>
            <w:szCs w:val="22"/>
          </w:rPr>
          <w:t>https://spse.inaproc.id/ntbprov/</w:t>
        </w:r>
      </w:hyperlink>
      <w:r w:rsidR="005B7E21" w:rsidRPr="00E619C8">
        <w:rPr>
          <w:rFonts w:ascii="Arial" w:eastAsia="Arial" w:hAnsi="Arial" w:cs="Arial"/>
          <w:sz w:val="22"/>
          <w:szCs w:val="22"/>
        </w:rPr>
        <w:t xml:space="preserve"> </w:t>
      </w:r>
    </w:p>
    <w:p w14:paraId="126699FE" w14:textId="0FA6C262" w:rsidR="002033A5" w:rsidRPr="00E619C8" w:rsidRDefault="00E113EC">
      <w:pPr>
        <w:spacing w:before="120" w:line="301" w:lineRule="auto"/>
        <w:ind w:left="566"/>
        <w:jc w:val="both"/>
        <w:rPr>
          <w:rFonts w:ascii="Arial" w:eastAsia="Arial" w:hAnsi="Arial" w:cs="Arial"/>
          <w:sz w:val="22"/>
          <w:szCs w:val="22"/>
        </w:rPr>
      </w:pPr>
      <w:r w:rsidRPr="00E619C8">
        <w:rPr>
          <w:rFonts w:ascii="Arial" w:eastAsia="Arial" w:hAnsi="Arial" w:cs="Arial"/>
          <w:sz w:val="22"/>
          <w:szCs w:val="22"/>
        </w:rPr>
        <w:t>The West Nusa Tenggara Province Electronic Procurement Service System (LPSE) is a government procurement system for goods/services in West Nusa Tenggara Province that is implemented electronically. This LPSE system aims to improve efficiency, effectiveness, quality, and transparency in the procurement of goods and services.</w:t>
      </w:r>
    </w:p>
    <w:p w14:paraId="052E67E3" w14:textId="0082C586" w:rsidR="002033A5" w:rsidRPr="00E619C8" w:rsidRDefault="00E619C8">
      <w:pPr>
        <w:numPr>
          <w:ilvl w:val="0"/>
          <w:numId w:val="5"/>
        </w:numPr>
        <w:pBdr>
          <w:top w:val="nil"/>
          <w:left w:val="nil"/>
          <w:bottom w:val="nil"/>
          <w:right w:val="nil"/>
          <w:between w:val="nil"/>
        </w:pBdr>
        <w:spacing w:before="120" w:line="301" w:lineRule="auto"/>
        <w:ind w:left="566" w:hanging="585"/>
        <w:jc w:val="both"/>
        <w:rPr>
          <w:rFonts w:ascii="Arial" w:eastAsia="Arial" w:hAnsi="Arial" w:cs="Arial"/>
          <w:sz w:val="22"/>
          <w:szCs w:val="22"/>
        </w:rPr>
      </w:pPr>
      <w:hyperlink r:id="rId24" w:history="1">
        <w:r w:rsidRPr="00E36B29">
          <w:rPr>
            <w:rStyle w:val="Hyperlink"/>
            <w:rFonts w:ascii="Arial" w:eastAsia="Arial" w:hAnsi="Arial" w:cs="Arial"/>
            <w:sz w:val="22"/>
            <w:szCs w:val="22"/>
          </w:rPr>
          <w:t>https://peraturan.go.id/</w:t>
        </w:r>
      </w:hyperlink>
      <w:r>
        <w:rPr>
          <w:rFonts w:ascii="Arial" w:eastAsia="Arial" w:hAnsi="Arial" w:cs="Arial"/>
          <w:sz w:val="22"/>
          <w:szCs w:val="22"/>
        </w:rPr>
        <w:t xml:space="preserve"> </w:t>
      </w:r>
    </w:p>
    <w:p w14:paraId="6054354C" w14:textId="41BF5552" w:rsidR="002033A5" w:rsidRPr="00E619C8" w:rsidRDefault="00E113EC">
      <w:pPr>
        <w:pBdr>
          <w:top w:val="nil"/>
          <w:left w:val="nil"/>
          <w:bottom w:val="nil"/>
          <w:right w:val="nil"/>
          <w:between w:val="nil"/>
        </w:pBdr>
        <w:spacing w:before="120" w:line="301" w:lineRule="auto"/>
        <w:ind w:left="566"/>
        <w:jc w:val="both"/>
        <w:rPr>
          <w:rFonts w:ascii="Arial" w:eastAsia="Arial" w:hAnsi="Arial" w:cs="Arial"/>
          <w:sz w:val="22"/>
          <w:szCs w:val="22"/>
        </w:rPr>
      </w:pPr>
      <w:r w:rsidRPr="00E619C8">
        <w:rPr>
          <w:rFonts w:ascii="Arial" w:eastAsia="Arial" w:hAnsi="Arial" w:cs="Arial"/>
          <w:sz w:val="22"/>
          <w:szCs w:val="22"/>
        </w:rPr>
        <w:t xml:space="preserve">The website of the Directorate General of Legislation </w:t>
      </w:r>
      <w:r w:rsidR="00510CF1">
        <w:rPr>
          <w:rFonts w:ascii="Arial" w:eastAsia="Arial" w:hAnsi="Arial" w:cs="Arial"/>
          <w:sz w:val="22"/>
          <w:szCs w:val="22"/>
        </w:rPr>
        <w:t>features a Database of Legislation that includes information on types, statuses, relationships between regulations, and legislative statistics</w:t>
      </w:r>
      <w:r w:rsidRPr="00E619C8">
        <w:rPr>
          <w:rFonts w:ascii="Arial" w:eastAsia="Arial" w:hAnsi="Arial" w:cs="Arial"/>
          <w:sz w:val="22"/>
          <w:szCs w:val="22"/>
        </w:rPr>
        <w:t>.</w:t>
      </w:r>
    </w:p>
    <w:p w14:paraId="198D898A" w14:textId="49E80D45" w:rsidR="002033A5" w:rsidRPr="00E619C8" w:rsidRDefault="00E619C8" w:rsidP="008B454A">
      <w:pPr>
        <w:numPr>
          <w:ilvl w:val="0"/>
          <w:numId w:val="5"/>
        </w:numPr>
        <w:pBdr>
          <w:top w:val="nil"/>
          <w:left w:val="nil"/>
          <w:bottom w:val="nil"/>
          <w:right w:val="nil"/>
          <w:between w:val="nil"/>
        </w:pBdr>
        <w:spacing w:before="120" w:line="301" w:lineRule="auto"/>
        <w:ind w:left="566" w:hanging="585"/>
        <w:jc w:val="both"/>
        <w:rPr>
          <w:rFonts w:ascii="Arial" w:eastAsia="Arial" w:hAnsi="Arial" w:cs="Arial"/>
          <w:sz w:val="22"/>
          <w:szCs w:val="22"/>
        </w:rPr>
      </w:pPr>
      <w:hyperlink r:id="rId25" w:history="1">
        <w:r w:rsidRPr="00E36B29">
          <w:rPr>
            <w:rStyle w:val="Hyperlink"/>
            <w:rFonts w:ascii="Arial" w:eastAsia="Arial" w:hAnsi="Arial" w:cs="Arial"/>
            <w:sz w:val="22"/>
            <w:szCs w:val="22"/>
          </w:rPr>
          <w:t>https://intras.ntbprov.go.id/</w:t>
        </w:r>
      </w:hyperlink>
      <w:r>
        <w:rPr>
          <w:rFonts w:ascii="Arial" w:eastAsia="Arial" w:hAnsi="Arial" w:cs="Arial"/>
          <w:sz w:val="22"/>
          <w:szCs w:val="22"/>
        </w:rPr>
        <w:t xml:space="preserve"> </w:t>
      </w:r>
    </w:p>
    <w:p w14:paraId="061DE986" w14:textId="225F4846" w:rsidR="00E619C8" w:rsidRDefault="008B454A" w:rsidP="00A05661">
      <w:pPr>
        <w:pBdr>
          <w:top w:val="nil"/>
          <w:left w:val="nil"/>
          <w:bottom w:val="nil"/>
          <w:right w:val="nil"/>
          <w:between w:val="nil"/>
        </w:pBdr>
        <w:spacing w:before="120" w:line="301" w:lineRule="auto"/>
        <w:ind w:left="566"/>
        <w:jc w:val="both"/>
        <w:rPr>
          <w:rFonts w:ascii="Arial" w:eastAsia="Arial" w:hAnsi="Arial" w:cs="Arial"/>
          <w:sz w:val="22"/>
          <w:szCs w:val="22"/>
        </w:rPr>
      </w:pPr>
      <w:r w:rsidRPr="00E619C8">
        <w:rPr>
          <w:rFonts w:ascii="Arial" w:eastAsia="Arial" w:hAnsi="Arial" w:cs="Arial"/>
          <w:sz w:val="22"/>
          <w:szCs w:val="22"/>
        </w:rPr>
        <w:t xml:space="preserve">The INTRAS (Infrastructure Transparency System) is a digital platform developed by the Government of West Nusa Tenggara Province to provide </w:t>
      </w:r>
      <w:r w:rsidR="00A05661">
        <w:rPr>
          <w:rFonts w:ascii="Arial" w:eastAsia="Arial" w:hAnsi="Arial" w:cs="Arial"/>
          <w:sz w:val="22"/>
          <w:szCs w:val="22"/>
        </w:rPr>
        <w:t>the public with access to information on infrastructure projects</w:t>
      </w:r>
      <w:r w:rsidRPr="00E619C8">
        <w:rPr>
          <w:rFonts w:ascii="Arial" w:eastAsia="Arial" w:hAnsi="Arial" w:cs="Arial"/>
          <w:sz w:val="22"/>
          <w:szCs w:val="22"/>
        </w:rPr>
        <w:t>. It supports transparency by publishing project data across key stages of the project cycle</w:t>
      </w:r>
      <w:r w:rsidR="00A05661">
        <w:rPr>
          <w:rFonts w:ascii="Arial" w:eastAsia="Arial" w:hAnsi="Arial" w:cs="Arial"/>
          <w:sz w:val="22"/>
          <w:szCs w:val="22"/>
        </w:rPr>
        <w:t>, in line with the CoST IDS and</w:t>
      </w:r>
      <w:r w:rsidR="00E619C8" w:rsidRPr="00E619C8">
        <w:rPr>
          <w:rFonts w:ascii="Arial" w:eastAsia="Arial" w:hAnsi="Arial" w:cs="Arial"/>
          <w:sz w:val="22"/>
          <w:szCs w:val="22"/>
        </w:rPr>
        <w:t xml:space="preserve"> the OC4IDS. The INTRAs </w:t>
      </w:r>
      <w:r w:rsidR="00A05661">
        <w:rPr>
          <w:rFonts w:ascii="Arial" w:eastAsia="Arial" w:hAnsi="Arial" w:cs="Arial"/>
          <w:sz w:val="22"/>
          <w:szCs w:val="22"/>
        </w:rPr>
        <w:t>were under redevelopment during the ITI assessment period and, therefore,</w:t>
      </w:r>
      <w:r w:rsidR="00E619C8" w:rsidRPr="00E619C8">
        <w:rPr>
          <w:rFonts w:ascii="Arial" w:eastAsia="Arial" w:hAnsi="Arial" w:cs="Arial"/>
          <w:sz w:val="22"/>
          <w:szCs w:val="22"/>
        </w:rPr>
        <w:t xml:space="preserve"> could not be used for the ITI. However, observations were made on the platform regarding insufficient data</w:t>
      </w:r>
      <w:r w:rsidR="00A05661">
        <w:rPr>
          <w:rFonts w:ascii="Arial" w:eastAsia="Arial" w:hAnsi="Arial" w:cs="Arial"/>
          <w:sz w:val="22"/>
          <w:szCs w:val="22"/>
        </w:rPr>
        <w:t>, with more detailed data being published at the procurement stage, and less</w:t>
      </w:r>
      <w:r w:rsidR="00E619C8" w:rsidRPr="00E619C8">
        <w:rPr>
          <w:rFonts w:ascii="Arial" w:eastAsia="Arial" w:hAnsi="Arial" w:cs="Arial"/>
          <w:sz w:val="22"/>
          <w:szCs w:val="22"/>
        </w:rPr>
        <w:t xml:space="preserve"> across other project phases. </w:t>
      </w:r>
    </w:p>
    <w:p w14:paraId="0FAED31E" w14:textId="77777777" w:rsidR="008B454A" w:rsidRPr="00E619C8" w:rsidRDefault="008B454A" w:rsidP="00A05661">
      <w:pPr>
        <w:pBdr>
          <w:top w:val="nil"/>
          <w:left w:val="nil"/>
          <w:bottom w:val="nil"/>
          <w:right w:val="nil"/>
          <w:between w:val="nil"/>
        </w:pBdr>
        <w:spacing w:before="120" w:line="301" w:lineRule="auto"/>
        <w:jc w:val="both"/>
        <w:rPr>
          <w:rFonts w:ascii="Arial" w:eastAsia="Arial" w:hAnsi="Arial" w:cs="Arial"/>
          <w:sz w:val="22"/>
          <w:szCs w:val="22"/>
        </w:rPr>
      </w:pPr>
    </w:p>
    <w:p w14:paraId="65E2404F" w14:textId="77777777"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b/>
          <w:bCs/>
          <w:sz w:val="22"/>
          <w:szCs w:val="22"/>
        </w:rPr>
        <w:t>Procuring entity survey</w:t>
      </w:r>
    </w:p>
    <w:p w14:paraId="33C9F3FC" w14:textId="751D3B20" w:rsidR="002033A5" w:rsidRPr="00E619C8" w:rsidRDefault="00E113EC">
      <w:pPr>
        <w:spacing w:before="120" w:line="301" w:lineRule="auto"/>
        <w:jc w:val="both"/>
        <w:rPr>
          <w:rFonts w:ascii="Arial" w:eastAsia="Arial" w:hAnsi="Arial" w:cs="Arial"/>
          <w:sz w:val="22"/>
          <w:szCs w:val="22"/>
        </w:rPr>
      </w:pPr>
      <w:r w:rsidRPr="00E619C8">
        <w:rPr>
          <w:rFonts w:ascii="Arial" w:eastAsia="Arial" w:hAnsi="Arial" w:cs="Arial"/>
          <w:sz w:val="22"/>
          <w:szCs w:val="22"/>
        </w:rPr>
        <w:t>The survey began with training for officers from each agency who had been appointed by their leaders to participate in the ITI training/</w:t>
      </w:r>
      <w:r w:rsidR="00A05661">
        <w:rPr>
          <w:rFonts w:ascii="Arial" w:eastAsia="Arial" w:hAnsi="Arial" w:cs="Arial"/>
          <w:sz w:val="22"/>
          <w:szCs w:val="22"/>
        </w:rPr>
        <w:t>socialisation</w:t>
      </w:r>
      <w:r w:rsidRPr="00E619C8">
        <w:rPr>
          <w:rFonts w:ascii="Arial" w:eastAsia="Arial" w:hAnsi="Arial" w:cs="Arial"/>
          <w:sz w:val="22"/>
          <w:szCs w:val="22"/>
        </w:rPr>
        <w:t>. The survey was then conducted by distributing self-assessment forms within a specified timeframe. Each officer in each agency was provided with the contact details of an ITI researcher. Officers at each agency could contact the researchers if they had any questions or if anything was unclear. For more details on the survey stages, see the following section.</w:t>
      </w:r>
    </w:p>
    <w:p w14:paraId="65A1E9DB" w14:textId="14D6CA76" w:rsidR="002033A5" w:rsidRPr="00E619C8" w:rsidRDefault="00E113EC">
      <w:pPr>
        <w:numPr>
          <w:ilvl w:val="0"/>
          <w:numId w:val="6"/>
        </w:numPr>
        <w:spacing w:before="120" w:line="301" w:lineRule="auto"/>
        <w:ind w:left="566" w:hanging="566"/>
        <w:jc w:val="both"/>
        <w:rPr>
          <w:rFonts w:ascii="Arial" w:eastAsia="Arial" w:hAnsi="Arial" w:cs="Arial"/>
          <w:sz w:val="22"/>
          <w:szCs w:val="22"/>
        </w:rPr>
      </w:pPr>
      <w:r w:rsidRPr="00E619C8">
        <w:rPr>
          <w:rFonts w:ascii="Arial" w:eastAsia="Arial" w:hAnsi="Arial" w:cs="Arial"/>
          <w:sz w:val="22"/>
          <w:szCs w:val="22"/>
        </w:rPr>
        <w:t xml:space="preserve">The </w:t>
      </w:r>
      <w:r w:rsidR="00DD602C" w:rsidRPr="00E619C8">
        <w:rPr>
          <w:rFonts w:ascii="Arial" w:eastAsia="Arial" w:hAnsi="Arial" w:cs="Arial"/>
          <w:sz w:val="22"/>
          <w:szCs w:val="22"/>
        </w:rPr>
        <w:t>CoST NTB Secretariat</w:t>
      </w:r>
      <w:r w:rsidRPr="00E619C8">
        <w:rPr>
          <w:rFonts w:ascii="Arial" w:eastAsia="Arial" w:hAnsi="Arial" w:cs="Arial"/>
          <w:sz w:val="22"/>
          <w:szCs w:val="22"/>
        </w:rPr>
        <w:t xml:space="preserve"> sen</w:t>
      </w:r>
      <w:r w:rsidR="00382D48" w:rsidRPr="00E619C8">
        <w:rPr>
          <w:rFonts w:ascii="Arial" w:eastAsia="Arial" w:hAnsi="Arial" w:cs="Arial"/>
          <w:sz w:val="22"/>
          <w:szCs w:val="22"/>
        </w:rPr>
        <w:t xml:space="preserve">t </w:t>
      </w:r>
      <w:r w:rsidRPr="00E619C8">
        <w:rPr>
          <w:rFonts w:ascii="Arial" w:eastAsia="Arial" w:hAnsi="Arial" w:cs="Arial"/>
          <w:sz w:val="22"/>
          <w:szCs w:val="22"/>
        </w:rPr>
        <w:t xml:space="preserve">letters to all relevant agencies to appoint officers from each agency to complete the survey forms, which </w:t>
      </w:r>
      <w:r w:rsidR="00925059" w:rsidRPr="00E619C8">
        <w:rPr>
          <w:rFonts w:ascii="Arial" w:eastAsia="Arial" w:hAnsi="Arial" w:cs="Arial"/>
          <w:sz w:val="22"/>
          <w:szCs w:val="22"/>
        </w:rPr>
        <w:t>were</w:t>
      </w:r>
      <w:r w:rsidRPr="00E619C8">
        <w:rPr>
          <w:rFonts w:ascii="Arial" w:eastAsia="Arial" w:hAnsi="Arial" w:cs="Arial"/>
          <w:sz w:val="22"/>
          <w:szCs w:val="22"/>
        </w:rPr>
        <w:t xml:space="preserve"> distributed by the NTB ITI team secretariat.</w:t>
      </w:r>
    </w:p>
    <w:p w14:paraId="0F955233" w14:textId="6563BD42" w:rsidR="002033A5" w:rsidRPr="00E619C8" w:rsidRDefault="00E113EC">
      <w:pPr>
        <w:numPr>
          <w:ilvl w:val="0"/>
          <w:numId w:val="6"/>
        </w:numPr>
        <w:pBdr>
          <w:top w:val="nil"/>
          <w:left w:val="nil"/>
          <w:bottom w:val="nil"/>
          <w:right w:val="nil"/>
          <w:between w:val="nil"/>
        </w:pBdr>
        <w:spacing w:line="301" w:lineRule="auto"/>
        <w:ind w:left="566" w:hanging="566"/>
        <w:jc w:val="both"/>
        <w:rPr>
          <w:rFonts w:ascii="Arial" w:eastAsia="Arial" w:hAnsi="Arial" w:cs="Arial"/>
          <w:sz w:val="22"/>
          <w:szCs w:val="22"/>
        </w:rPr>
      </w:pPr>
      <w:r w:rsidRPr="00E619C8">
        <w:rPr>
          <w:rFonts w:ascii="Arial" w:eastAsia="Arial" w:hAnsi="Arial" w:cs="Arial"/>
          <w:sz w:val="22"/>
          <w:szCs w:val="22"/>
        </w:rPr>
        <w:t>The agencies respond</w:t>
      </w:r>
      <w:r w:rsidR="00925059" w:rsidRPr="00E619C8">
        <w:rPr>
          <w:rFonts w:ascii="Arial" w:eastAsia="Arial" w:hAnsi="Arial" w:cs="Arial"/>
          <w:sz w:val="22"/>
          <w:szCs w:val="22"/>
        </w:rPr>
        <w:t>ed</w:t>
      </w:r>
      <w:r w:rsidRPr="00E619C8">
        <w:rPr>
          <w:rFonts w:ascii="Arial" w:eastAsia="Arial" w:hAnsi="Arial" w:cs="Arial"/>
          <w:sz w:val="22"/>
          <w:szCs w:val="22"/>
        </w:rPr>
        <w:t xml:space="preserve"> by sending the names of officers assigned to assist with completing the survey forms. The forms provided are for dimensions two and </w:t>
      </w:r>
      <w:r w:rsidR="002C7F6B" w:rsidRPr="00E619C8">
        <w:rPr>
          <w:rFonts w:ascii="Arial" w:eastAsia="Arial" w:hAnsi="Arial" w:cs="Arial"/>
          <w:sz w:val="22"/>
          <w:szCs w:val="22"/>
        </w:rPr>
        <w:t>three and</w:t>
      </w:r>
      <w:r w:rsidRPr="00E619C8">
        <w:rPr>
          <w:rFonts w:ascii="Arial" w:eastAsia="Arial" w:hAnsi="Arial" w:cs="Arial"/>
          <w:sz w:val="22"/>
          <w:szCs w:val="22"/>
        </w:rPr>
        <w:t xml:space="preserve"> </w:t>
      </w:r>
      <w:r w:rsidR="00925059" w:rsidRPr="00E619C8">
        <w:rPr>
          <w:rFonts w:ascii="Arial" w:eastAsia="Arial" w:hAnsi="Arial" w:cs="Arial"/>
          <w:sz w:val="22"/>
          <w:szCs w:val="22"/>
        </w:rPr>
        <w:t xml:space="preserve">had to </w:t>
      </w:r>
      <w:r w:rsidRPr="00E619C8">
        <w:rPr>
          <w:rFonts w:ascii="Arial" w:eastAsia="Arial" w:hAnsi="Arial" w:cs="Arial"/>
          <w:sz w:val="22"/>
          <w:szCs w:val="22"/>
        </w:rPr>
        <w:t>be completed by the designated personnel.</w:t>
      </w:r>
    </w:p>
    <w:p w14:paraId="6E7F279F" w14:textId="4999D209" w:rsidR="002033A5" w:rsidRPr="00E619C8" w:rsidRDefault="00E113EC">
      <w:pPr>
        <w:numPr>
          <w:ilvl w:val="0"/>
          <w:numId w:val="6"/>
        </w:numPr>
        <w:pBdr>
          <w:top w:val="nil"/>
          <w:left w:val="nil"/>
          <w:bottom w:val="nil"/>
          <w:right w:val="nil"/>
          <w:between w:val="nil"/>
        </w:pBdr>
        <w:spacing w:line="301" w:lineRule="auto"/>
        <w:ind w:left="566" w:hanging="566"/>
        <w:jc w:val="both"/>
        <w:rPr>
          <w:rFonts w:ascii="Arial" w:eastAsia="Arial" w:hAnsi="Arial" w:cs="Arial"/>
          <w:sz w:val="22"/>
          <w:szCs w:val="22"/>
        </w:rPr>
      </w:pPr>
      <w:r w:rsidRPr="00E619C8">
        <w:rPr>
          <w:rFonts w:ascii="Arial" w:eastAsia="Arial" w:hAnsi="Arial" w:cs="Arial"/>
          <w:sz w:val="22"/>
          <w:szCs w:val="22"/>
        </w:rPr>
        <w:t>The officers appointed by each agency answer</w:t>
      </w:r>
      <w:r w:rsidR="00925059" w:rsidRPr="00E619C8">
        <w:rPr>
          <w:rFonts w:ascii="Arial" w:eastAsia="Arial" w:hAnsi="Arial" w:cs="Arial"/>
          <w:sz w:val="22"/>
          <w:szCs w:val="22"/>
        </w:rPr>
        <w:t>ed</w:t>
      </w:r>
      <w:r w:rsidRPr="00E619C8">
        <w:rPr>
          <w:rFonts w:ascii="Arial" w:eastAsia="Arial" w:hAnsi="Arial" w:cs="Arial"/>
          <w:sz w:val="22"/>
          <w:szCs w:val="22"/>
        </w:rPr>
        <w:t xml:space="preserve"> all questions on the distributed forms. Questions </w:t>
      </w:r>
      <w:r w:rsidR="00925059" w:rsidRPr="00E619C8">
        <w:rPr>
          <w:rFonts w:ascii="Arial" w:eastAsia="Arial" w:hAnsi="Arial" w:cs="Arial"/>
          <w:sz w:val="22"/>
          <w:szCs w:val="22"/>
        </w:rPr>
        <w:t xml:space="preserve">were </w:t>
      </w:r>
      <w:r w:rsidRPr="00E619C8">
        <w:rPr>
          <w:rFonts w:ascii="Arial" w:eastAsia="Arial" w:hAnsi="Arial" w:cs="Arial"/>
          <w:sz w:val="22"/>
          <w:szCs w:val="22"/>
        </w:rPr>
        <w:t>answered based on the current situation at the relevant agency.</w:t>
      </w:r>
    </w:p>
    <w:p w14:paraId="1F1FE857" w14:textId="703E7D15" w:rsidR="002033A5" w:rsidRPr="00E619C8" w:rsidRDefault="00E113EC">
      <w:pPr>
        <w:numPr>
          <w:ilvl w:val="0"/>
          <w:numId w:val="6"/>
        </w:numPr>
        <w:pBdr>
          <w:top w:val="nil"/>
          <w:left w:val="nil"/>
          <w:bottom w:val="nil"/>
          <w:right w:val="nil"/>
          <w:between w:val="nil"/>
        </w:pBdr>
        <w:spacing w:line="301" w:lineRule="auto"/>
        <w:ind w:left="566" w:hanging="566"/>
        <w:jc w:val="both"/>
        <w:rPr>
          <w:rFonts w:ascii="Arial" w:eastAsia="Arial" w:hAnsi="Arial" w:cs="Arial"/>
          <w:sz w:val="22"/>
          <w:szCs w:val="22"/>
        </w:rPr>
      </w:pPr>
      <w:r w:rsidRPr="00E619C8">
        <w:rPr>
          <w:rFonts w:ascii="Arial" w:eastAsia="Arial" w:hAnsi="Arial" w:cs="Arial"/>
          <w:sz w:val="22"/>
          <w:szCs w:val="22"/>
        </w:rPr>
        <w:t>The</w:t>
      </w:r>
      <w:r w:rsidR="00DD602C" w:rsidRPr="00E619C8">
        <w:rPr>
          <w:rFonts w:ascii="Arial" w:eastAsia="Arial" w:hAnsi="Arial" w:cs="Arial"/>
          <w:sz w:val="22"/>
          <w:szCs w:val="22"/>
        </w:rPr>
        <w:t xml:space="preserve"> ITI evaluation team</w:t>
      </w:r>
      <w:r w:rsidRPr="00E619C8">
        <w:rPr>
          <w:rFonts w:ascii="Arial" w:eastAsia="Arial" w:hAnsi="Arial" w:cs="Arial"/>
          <w:sz w:val="22"/>
          <w:szCs w:val="22"/>
        </w:rPr>
        <w:t xml:space="preserve"> </w:t>
      </w:r>
      <w:r w:rsidR="00D03989" w:rsidRPr="00E619C8">
        <w:rPr>
          <w:rFonts w:ascii="Arial" w:eastAsia="Arial" w:hAnsi="Arial" w:cs="Arial"/>
          <w:sz w:val="22"/>
          <w:szCs w:val="22"/>
        </w:rPr>
        <w:t xml:space="preserve">communicated </w:t>
      </w:r>
      <w:r w:rsidRPr="00E619C8">
        <w:rPr>
          <w:rFonts w:ascii="Arial" w:eastAsia="Arial" w:hAnsi="Arial" w:cs="Arial"/>
          <w:sz w:val="22"/>
          <w:szCs w:val="22"/>
        </w:rPr>
        <w:t>that if officers encounter</w:t>
      </w:r>
      <w:r w:rsidR="00D03989" w:rsidRPr="00E619C8">
        <w:rPr>
          <w:rFonts w:ascii="Arial" w:eastAsia="Arial" w:hAnsi="Arial" w:cs="Arial"/>
          <w:sz w:val="22"/>
          <w:szCs w:val="22"/>
        </w:rPr>
        <w:t>ed</w:t>
      </w:r>
      <w:r w:rsidRPr="00E619C8">
        <w:rPr>
          <w:rFonts w:ascii="Arial" w:eastAsia="Arial" w:hAnsi="Arial" w:cs="Arial"/>
          <w:sz w:val="22"/>
          <w:szCs w:val="22"/>
        </w:rPr>
        <w:t xml:space="preserve"> difficulties completing the </w:t>
      </w:r>
      <w:r w:rsidR="00925059" w:rsidRPr="00E619C8">
        <w:rPr>
          <w:rFonts w:ascii="Arial" w:eastAsia="Arial" w:hAnsi="Arial" w:cs="Arial"/>
          <w:sz w:val="22"/>
          <w:szCs w:val="22"/>
        </w:rPr>
        <w:t>survey</w:t>
      </w:r>
      <w:r w:rsidRPr="00E619C8">
        <w:rPr>
          <w:rFonts w:ascii="Arial" w:eastAsia="Arial" w:hAnsi="Arial" w:cs="Arial"/>
          <w:sz w:val="22"/>
          <w:szCs w:val="22"/>
        </w:rPr>
        <w:t xml:space="preserve">, they </w:t>
      </w:r>
      <w:r w:rsidR="00925059" w:rsidRPr="00E619C8">
        <w:rPr>
          <w:rFonts w:ascii="Arial" w:eastAsia="Arial" w:hAnsi="Arial" w:cs="Arial"/>
          <w:sz w:val="22"/>
          <w:szCs w:val="22"/>
        </w:rPr>
        <w:t xml:space="preserve">could </w:t>
      </w:r>
      <w:r w:rsidRPr="00E619C8">
        <w:rPr>
          <w:rFonts w:ascii="Arial" w:eastAsia="Arial" w:hAnsi="Arial" w:cs="Arial"/>
          <w:sz w:val="22"/>
          <w:szCs w:val="22"/>
        </w:rPr>
        <w:t>directly contact and discuss the matter with the researchers assigned to each agency.</w:t>
      </w:r>
    </w:p>
    <w:p w14:paraId="26210289" w14:textId="2F839863" w:rsidR="002033A5" w:rsidRPr="00E619C8" w:rsidRDefault="00E113EC">
      <w:pPr>
        <w:numPr>
          <w:ilvl w:val="0"/>
          <w:numId w:val="6"/>
        </w:numPr>
        <w:pBdr>
          <w:top w:val="nil"/>
          <w:left w:val="nil"/>
          <w:bottom w:val="nil"/>
          <w:right w:val="nil"/>
          <w:between w:val="nil"/>
        </w:pBdr>
        <w:spacing w:line="301" w:lineRule="auto"/>
        <w:ind w:left="566" w:hanging="566"/>
        <w:jc w:val="both"/>
        <w:rPr>
          <w:rFonts w:ascii="Arial" w:eastAsia="Arial" w:hAnsi="Arial" w:cs="Arial"/>
          <w:sz w:val="22"/>
          <w:szCs w:val="22"/>
        </w:rPr>
      </w:pPr>
      <w:r w:rsidRPr="00E619C8">
        <w:rPr>
          <w:rFonts w:ascii="Arial" w:eastAsia="Arial" w:hAnsi="Arial" w:cs="Arial"/>
          <w:sz w:val="22"/>
          <w:szCs w:val="22"/>
        </w:rPr>
        <w:t xml:space="preserve">The officers responsible at each agency office </w:t>
      </w:r>
      <w:r w:rsidR="00925059" w:rsidRPr="00E619C8">
        <w:rPr>
          <w:rFonts w:ascii="Arial" w:eastAsia="Arial" w:hAnsi="Arial" w:cs="Arial"/>
          <w:sz w:val="22"/>
          <w:szCs w:val="22"/>
        </w:rPr>
        <w:t xml:space="preserve">were </w:t>
      </w:r>
      <w:r w:rsidRPr="00E619C8">
        <w:rPr>
          <w:rFonts w:ascii="Arial" w:eastAsia="Arial" w:hAnsi="Arial" w:cs="Arial"/>
          <w:sz w:val="22"/>
          <w:szCs w:val="22"/>
        </w:rPr>
        <w:t xml:space="preserve">given two weeks to answer and complete the </w:t>
      </w:r>
      <w:r w:rsidR="00925059" w:rsidRPr="00E619C8">
        <w:rPr>
          <w:rFonts w:ascii="Arial" w:eastAsia="Arial" w:hAnsi="Arial" w:cs="Arial"/>
          <w:sz w:val="22"/>
          <w:szCs w:val="22"/>
        </w:rPr>
        <w:t>survey</w:t>
      </w:r>
      <w:r w:rsidRPr="00E619C8">
        <w:rPr>
          <w:rFonts w:ascii="Arial" w:eastAsia="Arial" w:hAnsi="Arial" w:cs="Arial"/>
          <w:sz w:val="22"/>
          <w:szCs w:val="22"/>
        </w:rPr>
        <w:t>.</w:t>
      </w:r>
    </w:p>
    <w:p w14:paraId="5B6B0CB2" w14:textId="28518757" w:rsidR="002033A5" w:rsidRPr="00E619C8" w:rsidRDefault="00E113EC">
      <w:pPr>
        <w:numPr>
          <w:ilvl w:val="0"/>
          <w:numId w:val="6"/>
        </w:numPr>
        <w:pBdr>
          <w:top w:val="nil"/>
          <w:left w:val="nil"/>
          <w:bottom w:val="nil"/>
          <w:right w:val="nil"/>
          <w:between w:val="nil"/>
        </w:pBdr>
        <w:spacing w:line="301" w:lineRule="auto"/>
        <w:ind w:left="566" w:hanging="566"/>
        <w:jc w:val="both"/>
        <w:rPr>
          <w:rFonts w:ascii="Arial" w:eastAsia="Arial" w:hAnsi="Arial" w:cs="Arial"/>
          <w:sz w:val="22"/>
          <w:szCs w:val="22"/>
        </w:rPr>
      </w:pPr>
      <w:r w:rsidRPr="00E619C8">
        <w:rPr>
          <w:rFonts w:ascii="Arial" w:eastAsia="Arial" w:hAnsi="Arial" w:cs="Arial"/>
          <w:sz w:val="22"/>
          <w:szCs w:val="22"/>
        </w:rPr>
        <w:t xml:space="preserve">If the survey forms </w:t>
      </w:r>
      <w:r w:rsidR="00D03989" w:rsidRPr="00E619C8">
        <w:rPr>
          <w:rFonts w:ascii="Arial" w:eastAsia="Arial" w:hAnsi="Arial" w:cs="Arial"/>
          <w:sz w:val="22"/>
          <w:szCs w:val="22"/>
        </w:rPr>
        <w:t xml:space="preserve">were </w:t>
      </w:r>
      <w:r w:rsidRPr="00E619C8">
        <w:rPr>
          <w:rFonts w:ascii="Arial" w:eastAsia="Arial" w:hAnsi="Arial" w:cs="Arial"/>
          <w:sz w:val="22"/>
          <w:szCs w:val="22"/>
        </w:rPr>
        <w:t>not yet collected by the agreed time, the ITI team visit</w:t>
      </w:r>
      <w:r w:rsidR="00925059" w:rsidRPr="00E619C8">
        <w:rPr>
          <w:rFonts w:ascii="Arial" w:eastAsia="Arial" w:hAnsi="Arial" w:cs="Arial"/>
          <w:sz w:val="22"/>
          <w:szCs w:val="22"/>
        </w:rPr>
        <w:t>ed</w:t>
      </w:r>
      <w:r w:rsidRPr="00E619C8">
        <w:rPr>
          <w:rFonts w:ascii="Arial" w:eastAsia="Arial" w:hAnsi="Arial" w:cs="Arial"/>
          <w:sz w:val="22"/>
          <w:szCs w:val="22"/>
        </w:rPr>
        <w:t xml:space="preserve"> the officers at their offices to inquire about the issues.</w:t>
      </w:r>
    </w:p>
    <w:p w14:paraId="34D2FB15" w14:textId="19AF3E77" w:rsidR="002033A5" w:rsidRPr="00E619C8" w:rsidRDefault="00E113EC">
      <w:pPr>
        <w:numPr>
          <w:ilvl w:val="0"/>
          <w:numId w:val="6"/>
        </w:numPr>
        <w:pBdr>
          <w:top w:val="nil"/>
          <w:left w:val="nil"/>
          <w:bottom w:val="nil"/>
          <w:right w:val="nil"/>
          <w:between w:val="nil"/>
        </w:pBdr>
        <w:spacing w:line="301" w:lineRule="auto"/>
        <w:ind w:left="566" w:hanging="566"/>
        <w:jc w:val="both"/>
        <w:rPr>
          <w:rFonts w:ascii="Arial" w:eastAsia="Arial" w:hAnsi="Arial" w:cs="Arial"/>
          <w:sz w:val="22"/>
          <w:szCs w:val="22"/>
        </w:rPr>
      </w:pPr>
      <w:r w:rsidRPr="00E619C8">
        <w:rPr>
          <w:rFonts w:ascii="Arial" w:eastAsia="Arial" w:hAnsi="Arial" w:cs="Arial"/>
          <w:sz w:val="22"/>
          <w:szCs w:val="22"/>
        </w:rPr>
        <w:t xml:space="preserve">If the officers appointed by the agency </w:t>
      </w:r>
      <w:r w:rsidR="00925059" w:rsidRPr="00E619C8">
        <w:rPr>
          <w:rFonts w:ascii="Arial" w:eastAsia="Arial" w:hAnsi="Arial" w:cs="Arial"/>
          <w:sz w:val="22"/>
          <w:szCs w:val="22"/>
        </w:rPr>
        <w:t xml:space="preserve">were </w:t>
      </w:r>
      <w:r w:rsidRPr="00E619C8">
        <w:rPr>
          <w:rFonts w:ascii="Arial" w:eastAsia="Arial" w:hAnsi="Arial" w:cs="Arial"/>
          <w:sz w:val="22"/>
          <w:szCs w:val="22"/>
        </w:rPr>
        <w:t>still unable to complete this, the ITI researchers directly assist</w:t>
      </w:r>
      <w:r w:rsidR="00925059" w:rsidRPr="00E619C8">
        <w:rPr>
          <w:rFonts w:ascii="Arial" w:eastAsia="Arial" w:hAnsi="Arial" w:cs="Arial"/>
          <w:sz w:val="22"/>
          <w:szCs w:val="22"/>
        </w:rPr>
        <w:t>ed</w:t>
      </w:r>
      <w:r w:rsidRPr="00E619C8">
        <w:rPr>
          <w:rFonts w:ascii="Arial" w:eastAsia="Arial" w:hAnsi="Arial" w:cs="Arial"/>
          <w:sz w:val="22"/>
          <w:szCs w:val="22"/>
        </w:rPr>
        <w:t xml:space="preserve"> the officers in completing the existing forms through discussions and interviews.</w:t>
      </w:r>
    </w:p>
    <w:p w14:paraId="155A32A1" w14:textId="1C681CAB" w:rsidR="002033A5" w:rsidRPr="00E619C8" w:rsidRDefault="00E113EC" w:rsidP="00627C36">
      <w:pPr>
        <w:numPr>
          <w:ilvl w:val="0"/>
          <w:numId w:val="6"/>
        </w:numPr>
        <w:pBdr>
          <w:top w:val="nil"/>
          <w:left w:val="nil"/>
          <w:bottom w:val="nil"/>
          <w:right w:val="nil"/>
          <w:between w:val="nil"/>
        </w:pBdr>
        <w:spacing w:line="301" w:lineRule="auto"/>
        <w:ind w:left="566" w:hanging="566"/>
        <w:jc w:val="both"/>
        <w:rPr>
          <w:rFonts w:ascii="Arial" w:eastAsia="Arial" w:hAnsi="Arial" w:cs="Arial"/>
          <w:sz w:val="22"/>
          <w:szCs w:val="22"/>
        </w:rPr>
      </w:pPr>
      <w:r w:rsidRPr="00E619C8">
        <w:rPr>
          <w:rFonts w:ascii="Arial" w:eastAsia="Arial" w:hAnsi="Arial" w:cs="Arial"/>
          <w:sz w:val="22"/>
          <w:szCs w:val="22"/>
        </w:rPr>
        <w:t xml:space="preserve">After the data </w:t>
      </w:r>
      <w:r w:rsidR="00925059" w:rsidRPr="00E619C8">
        <w:rPr>
          <w:rFonts w:ascii="Arial" w:eastAsia="Arial" w:hAnsi="Arial" w:cs="Arial"/>
          <w:sz w:val="22"/>
          <w:szCs w:val="22"/>
        </w:rPr>
        <w:t xml:space="preserve">was </w:t>
      </w:r>
      <w:r w:rsidRPr="00E619C8">
        <w:rPr>
          <w:rFonts w:ascii="Arial" w:eastAsia="Arial" w:hAnsi="Arial" w:cs="Arial"/>
          <w:sz w:val="22"/>
          <w:szCs w:val="22"/>
        </w:rPr>
        <w:t xml:space="preserve">collected, the researchers </w:t>
      </w:r>
      <w:r w:rsidR="002C7F6B" w:rsidRPr="00E619C8">
        <w:rPr>
          <w:rFonts w:ascii="Arial" w:eastAsia="Arial" w:hAnsi="Arial" w:cs="Arial"/>
          <w:sz w:val="22"/>
          <w:szCs w:val="22"/>
        </w:rPr>
        <w:t>analysed</w:t>
      </w:r>
      <w:r w:rsidRPr="00E619C8">
        <w:rPr>
          <w:rFonts w:ascii="Arial" w:eastAsia="Arial" w:hAnsi="Arial" w:cs="Arial"/>
          <w:sz w:val="22"/>
          <w:szCs w:val="22"/>
        </w:rPr>
        <w:t xml:space="preserve"> the data for each relevant agency. </w:t>
      </w:r>
    </w:p>
    <w:tbl>
      <w:tblPr>
        <w:tblStyle w:val="a2"/>
        <w:tblW w:w="9030" w:type="dxa"/>
        <w:tblBorders>
          <w:top w:val="nil"/>
          <w:left w:val="nil"/>
          <w:bottom w:val="nil"/>
          <w:right w:val="nil"/>
          <w:insideH w:val="nil"/>
          <w:insideV w:val="nil"/>
        </w:tblBorders>
        <w:tblLayout w:type="fixed"/>
        <w:tblLook w:val="0600" w:firstRow="0" w:lastRow="0" w:firstColumn="0" w:lastColumn="0" w:noHBand="1" w:noVBand="1"/>
      </w:tblPr>
      <w:tblGrid>
        <w:gridCol w:w="735"/>
        <w:gridCol w:w="2670"/>
        <w:gridCol w:w="2835"/>
        <w:gridCol w:w="2790"/>
      </w:tblGrid>
      <w:tr w:rsidR="002033A5" w:rsidRPr="00E619C8" w14:paraId="2AA77D3E" w14:textId="77777777" w:rsidTr="006D0322">
        <w:trPr>
          <w:trHeight w:val="495"/>
          <w:tblHeader/>
        </w:trPr>
        <w:tc>
          <w:tcPr>
            <w:tcW w:w="735" w:type="dxa"/>
            <w:tcBorders>
              <w:top w:val="single" w:sz="6" w:space="0" w:color="000000"/>
              <w:left w:val="single" w:sz="6" w:space="0" w:color="000000"/>
              <w:bottom w:val="single" w:sz="6" w:space="0" w:color="000000"/>
              <w:right w:val="single" w:sz="6" w:space="0" w:color="000000"/>
            </w:tcBorders>
            <w:shd w:val="clear" w:color="auto" w:fill="C00000"/>
            <w:tcMar>
              <w:top w:w="100" w:type="dxa"/>
              <w:left w:w="100" w:type="dxa"/>
              <w:bottom w:w="100" w:type="dxa"/>
              <w:right w:w="100" w:type="dxa"/>
            </w:tcMar>
          </w:tcPr>
          <w:p w14:paraId="4055120C" w14:textId="77777777" w:rsidR="002033A5" w:rsidRPr="00E619C8" w:rsidRDefault="00E113EC" w:rsidP="00D168F7">
            <w:pPr>
              <w:spacing w:line="300" w:lineRule="auto"/>
              <w:ind w:left="560" w:right="-45" w:hanging="560"/>
              <w:jc w:val="center"/>
              <w:rPr>
                <w:rFonts w:ascii="Arial" w:eastAsia="Arial" w:hAnsi="Arial" w:cs="Arial"/>
                <w:b/>
                <w:bCs/>
                <w:sz w:val="22"/>
                <w:szCs w:val="22"/>
              </w:rPr>
            </w:pPr>
            <w:r w:rsidRPr="00E619C8">
              <w:rPr>
                <w:rFonts w:ascii="Arial" w:eastAsia="Arial" w:hAnsi="Arial" w:cs="Arial"/>
                <w:b/>
                <w:bCs/>
                <w:sz w:val="22"/>
                <w:szCs w:val="22"/>
              </w:rPr>
              <w:t>No</w:t>
            </w:r>
          </w:p>
        </w:tc>
        <w:tc>
          <w:tcPr>
            <w:tcW w:w="2670" w:type="dxa"/>
            <w:tcBorders>
              <w:top w:val="single" w:sz="6" w:space="0" w:color="000000"/>
              <w:left w:val="nil"/>
              <w:bottom w:val="single" w:sz="6" w:space="0" w:color="000000"/>
              <w:right w:val="single" w:sz="6" w:space="0" w:color="000000"/>
            </w:tcBorders>
            <w:shd w:val="clear" w:color="auto" w:fill="C00000"/>
            <w:tcMar>
              <w:top w:w="100" w:type="dxa"/>
              <w:left w:w="100" w:type="dxa"/>
              <w:bottom w:w="100" w:type="dxa"/>
              <w:right w:w="100" w:type="dxa"/>
            </w:tcMar>
          </w:tcPr>
          <w:p w14:paraId="1AA21BBF" w14:textId="77777777" w:rsidR="002033A5" w:rsidRPr="00E619C8" w:rsidRDefault="00E113EC">
            <w:pPr>
              <w:spacing w:line="300" w:lineRule="auto"/>
              <w:jc w:val="center"/>
              <w:rPr>
                <w:rFonts w:ascii="Arial" w:eastAsia="Arial" w:hAnsi="Arial" w:cs="Arial"/>
                <w:b/>
                <w:bCs/>
                <w:sz w:val="22"/>
                <w:szCs w:val="22"/>
              </w:rPr>
            </w:pPr>
            <w:r w:rsidRPr="00E619C8">
              <w:rPr>
                <w:rFonts w:ascii="Arial" w:eastAsia="Arial" w:hAnsi="Arial" w:cs="Arial"/>
                <w:b/>
                <w:bCs/>
                <w:sz w:val="22"/>
                <w:szCs w:val="22"/>
              </w:rPr>
              <w:t>Name and Contact Person</w:t>
            </w:r>
          </w:p>
        </w:tc>
        <w:tc>
          <w:tcPr>
            <w:tcW w:w="2835" w:type="dxa"/>
            <w:tcBorders>
              <w:top w:val="single" w:sz="6" w:space="0" w:color="000000"/>
              <w:left w:val="nil"/>
              <w:bottom w:val="single" w:sz="6" w:space="0" w:color="000000"/>
              <w:right w:val="single" w:sz="6" w:space="0" w:color="000000"/>
            </w:tcBorders>
            <w:shd w:val="clear" w:color="auto" w:fill="C00000"/>
            <w:tcMar>
              <w:top w:w="100" w:type="dxa"/>
              <w:left w:w="100" w:type="dxa"/>
              <w:bottom w:w="100" w:type="dxa"/>
              <w:right w:w="100" w:type="dxa"/>
            </w:tcMar>
          </w:tcPr>
          <w:p w14:paraId="580F2981" w14:textId="551A1F32" w:rsidR="002033A5" w:rsidRPr="00E619C8" w:rsidRDefault="00E113EC">
            <w:pPr>
              <w:spacing w:line="300" w:lineRule="auto"/>
              <w:jc w:val="center"/>
              <w:rPr>
                <w:rFonts w:ascii="Arial" w:eastAsia="Arial" w:hAnsi="Arial" w:cs="Arial"/>
                <w:b/>
                <w:bCs/>
                <w:sz w:val="22"/>
                <w:szCs w:val="22"/>
              </w:rPr>
            </w:pPr>
            <w:r w:rsidRPr="00E619C8">
              <w:rPr>
                <w:rFonts w:ascii="Arial" w:eastAsia="Arial" w:hAnsi="Arial" w:cs="Arial"/>
                <w:b/>
                <w:bCs/>
                <w:sz w:val="22"/>
                <w:szCs w:val="22"/>
              </w:rPr>
              <w:t>Position</w:t>
            </w:r>
          </w:p>
        </w:tc>
        <w:tc>
          <w:tcPr>
            <w:tcW w:w="2790" w:type="dxa"/>
            <w:tcBorders>
              <w:top w:val="single" w:sz="6" w:space="0" w:color="000000"/>
              <w:left w:val="nil"/>
              <w:bottom w:val="single" w:sz="6" w:space="0" w:color="000000"/>
              <w:right w:val="single" w:sz="6" w:space="0" w:color="000000"/>
            </w:tcBorders>
            <w:shd w:val="clear" w:color="auto" w:fill="C00000"/>
            <w:tcMar>
              <w:top w:w="100" w:type="dxa"/>
              <w:left w:w="100" w:type="dxa"/>
              <w:bottom w:w="100" w:type="dxa"/>
              <w:right w:w="100" w:type="dxa"/>
            </w:tcMar>
          </w:tcPr>
          <w:p w14:paraId="58B81FC4" w14:textId="662BA6C4" w:rsidR="002033A5" w:rsidRPr="00E619C8" w:rsidRDefault="00E113EC">
            <w:pPr>
              <w:spacing w:line="300" w:lineRule="auto"/>
              <w:jc w:val="center"/>
              <w:rPr>
                <w:rFonts w:ascii="Arial" w:eastAsia="Arial" w:hAnsi="Arial" w:cs="Arial"/>
                <w:b/>
                <w:bCs/>
                <w:sz w:val="22"/>
                <w:szCs w:val="22"/>
              </w:rPr>
            </w:pPr>
            <w:r w:rsidRPr="00E619C8">
              <w:rPr>
                <w:rFonts w:ascii="Arial" w:eastAsia="Arial" w:hAnsi="Arial" w:cs="Arial"/>
                <w:b/>
                <w:bCs/>
                <w:sz w:val="22"/>
                <w:szCs w:val="22"/>
              </w:rPr>
              <w:t>Procurement Entit</w:t>
            </w:r>
            <w:r w:rsidR="00925059" w:rsidRPr="00E619C8">
              <w:rPr>
                <w:rFonts w:ascii="Arial" w:eastAsia="Arial" w:hAnsi="Arial" w:cs="Arial"/>
                <w:b/>
                <w:bCs/>
                <w:sz w:val="22"/>
                <w:szCs w:val="22"/>
              </w:rPr>
              <w:t>y</w:t>
            </w:r>
          </w:p>
        </w:tc>
      </w:tr>
      <w:tr w:rsidR="00F913E9" w:rsidRPr="00E619C8" w14:paraId="554667FE" w14:textId="77777777" w:rsidTr="00350B2A">
        <w:trPr>
          <w:trHeight w:val="375"/>
        </w:trPr>
        <w:tc>
          <w:tcPr>
            <w:tcW w:w="7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67C8199" w14:textId="77777777" w:rsidR="00F913E9" w:rsidRPr="00E619C8" w:rsidRDefault="00F913E9" w:rsidP="00F913E9">
            <w:pPr>
              <w:pBdr>
                <w:top w:val="nil"/>
                <w:left w:val="nil"/>
                <w:bottom w:val="nil"/>
                <w:right w:val="nil"/>
                <w:between w:val="nil"/>
              </w:pBdr>
              <w:ind w:left="560" w:right="-45" w:hanging="560"/>
              <w:jc w:val="center"/>
              <w:rPr>
                <w:rFonts w:ascii="Arial" w:eastAsia="Arial" w:hAnsi="Arial" w:cs="Arial"/>
                <w:sz w:val="22"/>
                <w:szCs w:val="22"/>
              </w:rPr>
            </w:pPr>
            <w:r w:rsidRPr="00E619C8">
              <w:rPr>
                <w:rFonts w:ascii="Arial" w:eastAsia="Arial" w:hAnsi="Arial" w:cs="Arial"/>
                <w:sz w:val="22"/>
                <w:szCs w:val="22"/>
              </w:rPr>
              <w:t>1</w:t>
            </w:r>
            <w:r w:rsidRPr="00E619C8">
              <w:rPr>
                <w:rFonts w:ascii="Arial" w:eastAsia="Arial" w:hAnsi="Arial" w:cs="Arial"/>
                <w:b/>
                <w:bCs/>
                <w:sz w:val="22"/>
                <w:szCs w:val="22"/>
              </w:rPr>
              <w:t>.</w:t>
            </w:r>
          </w:p>
        </w:tc>
        <w:tc>
          <w:tcPr>
            <w:tcW w:w="2670" w:type="dxa"/>
            <w:tcBorders>
              <w:top w:val="nil"/>
              <w:left w:val="nil"/>
              <w:bottom w:val="single" w:sz="6" w:space="0" w:color="000000"/>
              <w:right w:val="single" w:sz="6" w:space="0" w:color="000000"/>
            </w:tcBorders>
            <w:tcMar>
              <w:top w:w="100" w:type="dxa"/>
              <w:left w:w="100" w:type="dxa"/>
              <w:bottom w:w="100" w:type="dxa"/>
              <w:right w:w="100" w:type="dxa"/>
            </w:tcMar>
          </w:tcPr>
          <w:p w14:paraId="6C7111BD"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Septyan Nugraha, S.Pi</w:t>
            </w:r>
          </w:p>
          <w:p w14:paraId="7A314322" w14:textId="5D69ABB4" w:rsidR="00F913E9" w:rsidRPr="00E619C8" w:rsidRDefault="00F913E9" w:rsidP="00F913E9">
            <w:pPr>
              <w:rPr>
                <w:rFonts w:ascii="Arial" w:eastAsia="Arial" w:hAnsi="Arial" w:cs="Arial"/>
                <w:sz w:val="22"/>
                <w:szCs w:val="22"/>
              </w:rPr>
            </w:pPr>
          </w:p>
        </w:tc>
        <w:tc>
          <w:tcPr>
            <w:tcW w:w="2835" w:type="dxa"/>
            <w:tcBorders>
              <w:top w:val="nil"/>
              <w:left w:val="nil"/>
              <w:bottom w:val="single" w:sz="6" w:space="0" w:color="000000"/>
              <w:right w:val="single" w:sz="6" w:space="0" w:color="000000"/>
            </w:tcBorders>
            <w:tcMar>
              <w:top w:w="100" w:type="dxa"/>
              <w:left w:w="100" w:type="dxa"/>
              <w:bottom w:w="100" w:type="dxa"/>
              <w:right w:w="100" w:type="dxa"/>
            </w:tcMar>
          </w:tcPr>
          <w:p w14:paraId="4EE95674"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Fungsional Pengelola Kesehatan Ikan Ahli Pratama</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68A67794"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Dinas Kelautan dan Perikanan Prov. NTB</w:t>
            </w:r>
          </w:p>
        </w:tc>
      </w:tr>
      <w:tr w:rsidR="00F913E9" w:rsidRPr="00E619C8" w14:paraId="1DC70675" w14:textId="77777777" w:rsidTr="00350B2A">
        <w:trPr>
          <w:trHeight w:val="292"/>
        </w:trPr>
        <w:tc>
          <w:tcPr>
            <w:tcW w:w="7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9106573" w14:textId="77777777" w:rsidR="00F913E9" w:rsidRPr="00E619C8" w:rsidRDefault="00F913E9" w:rsidP="00F913E9">
            <w:pPr>
              <w:ind w:left="560" w:right="-45" w:hanging="560"/>
              <w:jc w:val="center"/>
              <w:rPr>
                <w:rFonts w:ascii="Arial" w:eastAsia="Arial" w:hAnsi="Arial" w:cs="Arial"/>
                <w:sz w:val="22"/>
                <w:szCs w:val="22"/>
              </w:rPr>
            </w:pPr>
            <w:r w:rsidRPr="00E619C8">
              <w:rPr>
                <w:rFonts w:ascii="Arial" w:eastAsia="Arial" w:hAnsi="Arial" w:cs="Arial"/>
                <w:sz w:val="22"/>
                <w:szCs w:val="22"/>
              </w:rPr>
              <w:t>2.</w:t>
            </w:r>
          </w:p>
        </w:tc>
        <w:tc>
          <w:tcPr>
            <w:tcW w:w="2670" w:type="dxa"/>
            <w:tcBorders>
              <w:top w:val="nil"/>
              <w:left w:val="nil"/>
              <w:bottom w:val="single" w:sz="6" w:space="0" w:color="000000"/>
              <w:right w:val="single" w:sz="6" w:space="0" w:color="000000"/>
            </w:tcBorders>
            <w:tcMar>
              <w:top w:w="100" w:type="dxa"/>
              <w:left w:w="100" w:type="dxa"/>
              <w:bottom w:w="100" w:type="dxa"/>
              <w:right w:w="100" w:type="dxa"/>
            </w:tcMar>
          </w:tcPr>
          <w:p w14:paraId="6005EC60"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Putra Daironi, A.Md.</w:t>
            </w:r>
          </w:p>
          <w:p w14:paraId="7C16F5CE" w14:textId="39ECFD9F" w:rsidR="00F913E9" w:rsidRPr="00E619C8" w:rsidRDefault="00F913E9" w:rsidP="00F913E9">
            <w:pPr>
              <w:rPr>
                <w:rFonts w:ascii="Arial" w:eastAsia="Arial" w:hAnsi="Arial" w:cs="Arial"/>
                <w:sz w:val="22"/>
                <w:szCs w:val="22"/>
              </w:rPr>
            </w:pPr>
          </w:p>
        </w:tc>
        <w:tc>
          <w:tcPr>
            <w:tcW w:w="2835" w:type="dxa"/>
            <w:tcBorders>
              <w:top w:val="nil"/>
              <w:left w:val="nil"/>
              <w:bottom w:val="single" w:sz="6" w:space="0" w:color="000000"/>
              <w:right w:val="single" w:sz="6" w:space="0" w:color="000000"/>
            </w:tcBorders>
            <w:tcMar>
              <w:top w:w="100" w:type="dxa"/>
              <w:left w:w="100" w:type="dxa"/>
              <w:bottom w:w="100" w:type="dxa"/>
              <w:right w:w="100" w:type="dxa"/>
            </w:tcMar>
          </w:tcPr>
          <w:p w14:paraId="17E0D95F"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Fungsional Pranat Komputer Terampil</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27FFDCD1" w14:textId="77777777" w:rsidR="00F913E9" w:rsidRPr="00E619C8" w:rsidRDefault="00F913E9" w:rsidP="00F913E9">
            <w:pPr>
              <w:rPr>
                <w:rFonts w:ascii="Arial" w:eastAsia="Arial" w:hAnsi="Arial" w:cs="Arial"/>
                <w:sz w:val="22"/>
                <w:szCs w:val="22"/>
              </w:rPr>
            </w:pPr>
            <w:r w:rsidRPr="00FD5C43">
              <w:rPr>
                <w:rFonts w:ascii="Arial" w:eastAsia="Arial" w:hAnsi="Arial" w:cs="Arial"/>
                <w:sz w:val="22"/>
                <w:szCs w:val="22"/>
                <w:lang w:val="it-IT"/>
              </w:rPr>
              <w:t xml:space="preserve">Dinas Koperasi dan Usaha Kecil Menengah Prov. </w:t>
            </w:r>
            <w:r w:rsidRPr="00E619C8">
              <w:rPr>
                <w:rFonts w:ascii="Arial" w:eastAsia="Arial" w:hAnsi="Arial" w:cs="Arial"/>
                <w:sz w:val="22"/>
                <w:szCs w:val="22"/>
              </w:rPr>
              <w:t>NTB</w:t>
            </w:r>
          </w:p>
        </w:tc>
      </w:tr>
      <w:tr w:rsidR="00F913E9" w:rsidRPr="00E619C8" w14:paraId="50AE36B5" w14:textId="77777777" w:rsidTr="00350B2A">
        <w:trPr>
          <w:trHeight w:val="618"/>
        </w:trPr>
        <w:tc>
          <w:tcPr>
            <w:tcW w:w="7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74F89BF" w14:textId="77777777" w:rsidR="00F913E9" w:rsidRPr="00E619C8" w:rsidRDefault="00F913E9" w:rsidP="00F913E9">
            <w:pPr>
              <w:ind w:left="560" w:right="-45" w:hanging="560"/>
              <w:jc w:val="center"/>
              <w:rPr>
                <w:rFonts w:ascii="Arial" w:eastAsia="Arial" w:hAnsi="Arial" w:cs="Arial"/>
                <w:sz w:val="22"/>
                <w:szCs w:val="22"/>
              </w:rPr>
            </w:pPr>
            <w:r w:rsidRPr="00E619C8">
              <w:rPr>
                <w:rFonts w:ascii="Arial" w:eastAsia="Arial" w:hAnsi="Arial" w:cs="Arial"/>
                <w:sz w:val="22"/>
                <w:szCs w:val="22"/>
              </w:rPr>
              <w:t>3.</w:t>
            </w:r>
          </w:p>
        </w:tc>
        <w:tc>
          <w:tcPr>
            <w:tcW w:w="2670" w:type="dxa"/>
            <w:tcBorders>
              <w:top w:val="nil"/>
              <w:left w:val="nil"/>
              <w:bottom w:val="single" w:sz="6" w:space="0" w:color="000000"/>
              <w:right w:val="single" w:sz="6" w:space="0" w:color="000000"/>
            </w:tcBorders>
            <w:tcMar>
              <w:top w:w="100" w:type="dxa"/>
              <w:left w:w="100" w:type="dxa"/>
              <w:bottom w:w="100" w:type="dxa"/>
              <w:right w:w="100" w:type="dxa"/>
            </w:tcMar>
          </w:tcPr>
          <w:p w14:paraId="5E87ED29"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Normaya Saripurti, S.T.</w:t>
            </w:r>
          </w:p>
          <w:p w14:paraId="42517397" w14:textId="53CA7F72" w:rsidR="00F913E9" w:rsidRPr="00E619C8" w:rsidRDefault="00F913E9" w:rsidP="00F913E9">
            <w:pPr>
              <w:rPr>
                <w:rFonts w:ascii="Arial" w:eastAsia="Arial" w:hAnsi="Arial" w:cs="Arial"/>
                <w:sz w:val="22"/>
                <w:szCs w:val="22"/>
              </w:rPr>
            </w:pPr>
          </w:p>
        </w:tc>
        <w:tc>
          <w:tcPr>
            <w:tcW w:w="2835" w:type="dxa"/>
            <w:tcBorders>
              <w:top w:val="nil"/>
              <w:left w:val="nil"/>
              <w:bottom w:val="single" w:sz="6" w:space="0" w:color="000000"/>
              <w:right w:val="single" w:sz="6" w:space="0" w:color="000000"/>
            </w:tcBorders>
            <w:tcMar>
              <w:top w:w="100" w:type="dxa"/>
              <w:left w:w="100" w:type="dxa"/>
              <w:bottom w:w="100" w:type="dxa"/>
              <w:right w:w="100" w:type="dxa"/>
            </w:tcMar>
          </w:tcPr>
          <w:p w14:paraId="49CC3B7A"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Staff Bidang Cipta Karya</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3B128612"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Dinas Pekerjaan Umum dan Penataan Ruang - Cipta Karya</w:t>
            </w:r>
          </w:p>
        </w:tc>
      </w:tr>
      <w:tr w:rsidR="00F913E9" w:rsidRPr="00E619C8" w14:paraId="2DB1C427" w14:textId="77777777" w:rsidTr="00350B2A">
        <w:trPr>
          <w:trHeight w:val="252"/>
        </w:trPr>
        <w:tc>
          <w:tcPr>
            <w:tcW w:w="7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675933F" w14:textId="77777777" w:rsidR="00F913E9" w:rsidRPr="00E619C8" w:rsidRDefault="00F913E9" w:rsidP="00F913E9">
            <w:pPr>
              <w:ind w:left="560" w:right="-45" w:hanging="560"/>
              <w:jc w:val="center"/>
              <w:rPr>
                <w:rFonts w:ascii="Arial" w:eastAsia="Arial" w:hAnsi="Arial" w:cs="Arial"/>
                <w:sz w:val="22"/>
                <w:szCs w:val="22"/>
              </w:rPr>
            </w:pPr>
            <w:r w:rsidRPr="00E619C8">
              <w:rPr>
                <w:rFonts w:ascii="Arial" w:eastAsia="Arial" w:hAnsi="Arial" w:cs="Arial"/>
                <w:sz w:val="22"/>
                <w:szCs w:val="22"/>
              </w:rPr>
              <w:t>4.</w:t>
            </w:r>
          </w:p>
        </w:tc>
        <w:tc>
          <w:tcPr>
            <w:tcW w:w="2670" w:type="dxa"/>
            <w:tcBorders>
              <w:top w:val="nil"/>
              <w:left w:val="nil"/>
              <w:bottom w:val="single" w:sz="6" w:space="0" w:color="000000"/>
              <w:right w:val="single" w:sz="6" w:space="0" w:color="000000"/>
            </w:tcBorders>
            <w:tcMar>
              <w:top w:w="100" w:type="dxa"/>
              <w:left w:w="100" w:type="dxa"/>
              <w:bottom w:w="100" w:type="dxa"/>
              <w:right w:w="100" w:type="dxa"/>
            </w:tcMar>
          </w:tcPr>
          <w:p w14:paraId="1CEC426A"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Agus Sukmayadi</w:t>
            </w:r>
          </w:p>
          <w:p w14:paraId="0F87CD90" w14:textId="1A882B95" w:rsidR="00F913E9" w:rsidRPr="00E619C8" w:rsidRDefault="00F913E9" w:rsidP="00F913E9">
            <w:pPr>
              <w:rPr>
                <w:rFonts w:ascii="Arial" w:eastAsia="Arial" w:hAnsi="Arial" w:cs="Arial"/>
                <w:sz w:val="22"/>
                <w:szCs w:val="22"/>
              </w:rPr>
            </w:pPr>
          </w:p>
        </w:tc>
        <w:tc>
          <w:tcPr>
            <w:tcW w:w="2835" w:type="dxa"/>
            <w:tcBorders>
              <w:top w:val="nil"/>
              <w:left w:val="nil"/>
              <w:bottom w:val="single" w:sz="6" w:space="0" w:color="000000"/>
              <w:right w:val="single" w:sz="6" w:space="0" w:color="000000"/>
            </w:tcBorders>
            <w:tcMar>
              <w:top w:w="100" w:type="dxa"/>
              <w:left w:w="100" w:type="dxa"/>
              <w:bottom w:w="100" w:type="dxa"/>
              <w:right w:w="100" w:type="dxa"/>
            </w:tcMar>
          </w:tcPr>
          <w:p w14:paraId="67E5C5CE"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Plt. Sekretaris Dinas</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74E26E63"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Dinas Pemuda dan Olahraga</w:t>
            </w:r>
          </w:p>
        </w:tc>
      </w:tr>
      <w:tr w:rsidR="00F913E9" w:rsidRPr="00E619C8" w14:paraId="7CBD97EA" w14:textId="77777777" w:rsidTr="00350B2A">
        <w:trPr>
          <w:trHeight w:val="323"/>
        </w:trPr>
        <w:tc>
          <w:tcPr>
            <w:tcW w:w="7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7BECD22" w14:textId="77777777" w:rsidR="00F913E9" w:rsidRPr="00E619C8" w:rsidRDefault="00F913E9" w:rsidP="00F913E9">
            <w:pPr>
              <w:ind w:left="560" w:right="-45" w:hanging="560"/>
              <w:jc w:val="center"/>
              <w:rPr>
                <w:rFonts w:ascii="Arial" w:eastAsia="Arial" w:hAnsi="Arial" w:cs="Arial"/>
                <w:sz w:val="22"/>
                <w:szCs w:val="22"/>
              </w:rPr>
            </w:pPr>
            <w:r w:rsidRPr="00E619C8">
              <w:rPr>
                <w:rFonts w:ascii="Arial" w:eastAsia="Arial" w:hAnsi="Arial" w:cs="Arial"/>
                <w:sz w:val="22"/>
                <w:szCs w:val="22"/>
              </w:rPr>
              <w:t>5.</w:t>
            </w:r>
          </w:p>
        </w:tc>
        <w:tc>
          <w:tcPr>
            <w:tcW w:w="2670" w:type="dxa"/>
            <w:tcBorders>
              <w:top w:val="nil"/>
              <w:left w:val="nil"/>
              <w:bottom w:val="single" w:sz="6" w:space="0" w:color="000000"/>
              <w:right w:val="single" w:sz="6" w:space="0" w:color="000000"/>
            </w:tcBorders>
            <w:tcMar>
              <w:top w:w="100" w:type="dxa"/>
              <w:left w:w="100" w:type="dxa"/>
              <w:bottom w:w="100" w:type="dxa"/>
              <w:right w:w="100" w:type="dxa"/>
            </w:tcMar>
          </w:tcPr>
          <w:p w14:paraId="39EB2350"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I Ng Muditha</w:t>
            </w:r>
          </w:p>
          <w:p w14:paraId="0CB34ABF" w14:textId="74FCAD92" w:rsidR="00F913E9" w:rsidRPr="00E619C8" w:rsidRDefault="00F913E9" w:rsidP="00F913E9">
            <w:pPr>
              <w:rPr>
                <w:rFonts w:ascii="Arial" w:eastAsia="Arial" w:hAnsi="Arial" w:cs="Arial"/>
                <w:sz w:val="22"/>
                <w:szCs w:val="22"/>
              </w:rPr>
            </w:pPr>
          </w:p>
        </w:tc>
        <w:tc>
          <w:tcPr>
            <w:tcW w:w="2835" w:type="dxa"/>
            <w:tcBorders>
              <w:top w:val="nil"/>
              <w:left w:val="nil"/>
              <w:bottom w:val="single" w:sz="6" w:space="0" w:color="000000"/>
              <w:right w:val="single" w:sz="6" w:space="0" w:color="000000"/>
            </w:tcBorders>
            <w:tcMar>
              <w:top w:w="100" w:type="dxa"/>
              <w:left w:w="100" w:type="dxa"/>
              <w:bottom w:w="100" w:type="dxa"/>
              <w:right w:w="100" w:type="dxa"/>
            </w:tcMar>
          </w:tcPr>
          <w:p w14:paraId="55474652"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Pelaksana/ Pengurus Barang</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2A6195D3"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Dinas Pendidikan dan Kebudayaan Prov. NTB</w:t>
            </w:r>
          </w:p>
        </w:tc>
      </w:tr>
      <w:tr w:rsidR="00F913E9" w:rsidRPr="00E619C8" w14:paraId="7B7079AC" w14:textId="77777777" w:rsidTr="00350B2A">
        <w:trPr>
          <w:trHeight w:val="364"/>
        </w:trPr>
        <w:tc>
          <w:tcPr>
            <w:tcW w:w="7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079EB2A" w14:textId="77777777" w:rsidR="00F913E9" w:rsidRPr="00E619C8" w:rsidRDefault="00F913E9" w:rsidP="00F913E9">
            <w:pPr>
              <w:ind w:left="560" w:right="-45" w:hanging="560"/>
              <w:jc w:val="center"/>
              <w:rPr>
                <w:rFonts w:ascii="Arial" w:eastAsia="Arial" w:hAnsi="Arial" w:cs="Arial"/>
                <w:sz w:val="22"/>
                <w:szCs w:val="22"/>
              </w:rPr>
            </w:pPr>
            <w:r w:rsidRPr="00E619C8">
              <w:rPr>
                <w:rFonts w:ascii="Arial" w:eastAsia="Arial" w:hAnsi="Arial" w:cs="Arial"/>
                <w:sz w:val="22"/>
                <w:szCs w:val="22"/>
              </w:rPr>
              <w:t>6.</w:t>
            </w:r>
          </w:p>
        </w:tc>
        <w:tc>
          <w:tcPr>
            <w:tcW w:w="2670" w:type="dxa"/>
            <w:tcBorders>
              <w:top w:val="nil"/>
              <w:left w:val="nil"/>
              <w:bottom w:val="single" w:sz="6" w:space="0" w:color="000000"/>
              <w:right w:val="single" w:sz="6" w:space="0" w:color="000000"/>
            </w:tcBorders>
            <w:tcMar>
              <w:top w:w="100" w:type="dxa"/>
              <w:left w:w="100" w:type="dxa"/>
              <w:bottom w:w="100" w:type="dxa"/>
              <w:right w:w="100" w:type="dxa"/>
            </w:tcMar>
          </w:tcPr>
          <w:p w14:paraId="2FEFB900" w14:textId="77777777" w:rsidR="00F913E9" w:rsidRPr="00FD5C43" w:rsidRDefault="00F913E9" w:rsidP="00F913E9">
            <w:pPr>
              <w:rPr>
                <w:rFonts w:ascii="Arial" w:eastAsia="Arial" w:hAnsi="Arial" w:cs="Arial"/>
                <w:sz w:val="22"/>
                <w:szCs w:val="22"/>
                <w:lang w:val="it-IT"/>
              </w:rPr>
            </w:pPr>
            <w:r w:rsidRPr="00FD5C43">
              <w:rPr>
                <w:rFonts w:ascii="Arial" w:eastAsia="Arial" w:hAnsi="Arial" w:cs="Arial"/>
                <w:sz w:val="22"/>
                <w:szCs w:val="22"/>
                <w:lang w:val="it-IT"/>
              </w:rPr>
              <w:t>Sandra Khaldun, S.STP., M.M.</w:t>
            </w:r>
          </w:p>
          <w:p w14:paraId="0B65F6AD" w14:textId="1C9BADF5" w:rsidR="00F913E9" w:rsidRPr="00FD5C43" w:rsidRDefault="00F913E9" w:rsidP="00F913E9">
            <w:pPr>
              <w:rPr>
                <w:rFonts w:ascii="Arial" w:eastAsia="Arial" w:hAnsi="Arial" w:cs="Arial"/>
                <w:sz w:val="22"/>
                <w:szCs w:val="22"/>
                <w:lang w:val="it-IT"/>
              </w:rPr>
            </w:pPr>
          </w:p>
        </w:tc>
        <w:tc>
          <w:tcPr>
            <w:tcW w:w="2835" w:type="dxa"/>
            <w:tcBorders>
              <w:top w:val="nil"/>
              <w:left w:val="nil"/>
              <w:bottom w:val="single" w:sz="6" w:space="0" w:color="000000"/>
              <w:right w:val="single" w:sz="6" w:space="0" w:color="000000"/>
            </w:tcBorders>
            <w:tcMar>
              <w:top w:w="100" w:type="dxa"/>
              <w:left w:w="100" w:type="dxa"/>
              <w:bottom w:w="100" w:type="dxa"/>
              <w:right w:w="100" w:type="dxa"/>
            </w:tcMar>
          </w:tcPr>
          <w:p w14:paraId="61B50FB4"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Perencana Ahli Muda</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7A2869D1"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Dinas Perpustakaan dan Kearsipan Prov. NTB</w:t>
            </w:r>
          </w:p>
        </w:tc>
      </w:tr>
      <w:tr w:rsidR="00F913E9" w:rsidRPr="00E619C8" w14:paraId="728719FE" w14:textId="77777777" w:rsidTr="00350B2A">
        <w:trPr>
          <w:trHeight w:val="297"/>
        </w:trPr>
        <w:tc>
          <w:tcPr>
            <w:tcW w:w="7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4F8BA57" w14:textId="77777777" w:rsidR="00F913E9" w:rsidRPr="00E619C8" w:rsidRDefault="00F913E9" w:rsidP="00F913E9">
            <w:pPr>
              <w:ind w:left="560" w:right="-41" w:hanging="560"/>
              <w:jc w:val="center"/>
              <w:rPr>
                <w:rFonts w:ascii="Arial" w:eastAsia="Arial" w:hAnsi="Arial" w:cs="Arial"/>
                <w:sz w:val="22"/>
                <w:szCs w:val="22"/>
              </w:rPr>
            </w:pPr>
            <w:r w:rsidRPr="00E619C8">
              <w:rPr>
                <w:rFonts w:ascii="Arial" w:eastAsia="Arial" w:hAnsi="Arial" w:cs="Arial"/>
                <w:sz w:val="22"/>
                <w:szCs w:val="22"/>
              </w:rPr>
              <w:t>7.</w:t>
            </w:r>
          </w:p>
        </w:tc>
        <w:tc>
          <w:tcPr>
            <w:tcW w:w="2670" w:type="dxa"/>
            <w:tcBorders>
              <w:top w:val="nil"/>
              <w:left w:val="nil"/>
              <w:bottom w:val="single" w:sz="6" w:space="0" w:color="000000"/>
              <w:right w:val="single" w:sz="6" w:space="0" w:color="000000"/>
            </w:tcBorders>
            <w:tcMar>
              <w:top w:w="100" w:type="dxa"/>
              <w:left w:w="100" w:type="dxa"/>
              <w:bottom w:w="100" w:type="dxa"/>
              <w:right w:w="100" w:type="dxa"/>
            </w:tcMar>
          </w:tcPr>
          <w:p w14:paraId="6B863B77"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Resya Futri Hadi Febryana</w:t>
            </w:r>
          </w:p>
          <w:p w14:paraId="371047E7" w14:textId="1B6D437B" w:rsidR="00F913E9" w:rsidRPr="00E619C8" w:rsidRDefault="00F913E9" w:rsidP="00F913E9">
            <w:pPr>
              <w:rPr>
                <w:rFonts w:ascii="Arial" w:eastAsia="Arial" w:hAnsi="Arial" w:cs="Arial"/>
                <w:sz w:val="22"/>
                <w:szCs w:val="22"/>
              </w:rPr>
            </w:pPr>
          </w:p>
        </w:tc>
        <w:tc>
          <w:tcPr>
            <w:tcW w:w="2835" w:type="dxa"/>
            <w:tcBorders>
              <w:top w:val="nil"/>
              <w:left w:val="nil"/>
              <w:bottom w:val="single" w:sz="6" w:space="0" w:color="000000"/>
              <w:right w:val="single" w:sz="6" w:space="0" w:color="000000"/>
            </w:tcBorders>
            <w:tcMar>
              <w:top w:w="100" w:type="dxa"/>
              <w:left w:w="100" w:type="dxa"/>
              <w:bottom w:w="100" w:type="dxa"/>
              <w:right w:w="100" w:type="dxa"/>
            </w:tcMar>
          </w:tcPr>
          <w:p w14:paraId="06A32C48"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Pranata Komputer Ahli Pertama</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3CE684F2"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Dinas Lingkungan Hidup dan Kehutanan Prov. NTB</w:t>
            </w:r>
          </w:p>
        </w:tc>
      </w:tr>
      <w:tr w:rsidR="00F913E9" w:rsidRPr="00FD5C43" w14:paraId="01A02517" w14:textId="77777777" w:rsidTr="00350B2A">
        <w:trPr>
          <w:trHeight w:val="87"/>
        </w:trPr>
        <w:tc>
          <w:tcPr>
            <w:tcW w:w="7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3FD1C8F" w14:textId="77777777" w:rsidR="00F913E9" w:rsidRPr="00E619C8" w:rsidRDefault="00F913E9" w:rsidP="00F913E9">
            <w:pPr>
              <w:ind w:left="560" w:right="-41" w:hanging="560"/>
              <w:jc w:val="center"/>
              <w:rPr>
                <w:rFonts w:ascii="Arial" w:eastAsia="Arial" w:hAnsi="Arial" w:cs="Arial"/>
                <w:sz w:val="22"/>
                <w:szCs w:val="22"/>
              </w:rPr>
            </w:pPr>
            <w:r w:rsidRPr="00E619C8">
              <w:rPr>
                <w:rFonts w:ascii="Arial" w:eastAsia="Arial" w:hAnsi="Arial" w:cs="Arial"/>
                <w:sz w:val="22"/>
                <w:szCs w:val="22"/>
              </w:rPr>
              <w:t>8.</w:t>
            </w:r>
          </w:p>
        </w:tc>
        <w:tc>
          <w:tcPr>
            <w:tcW w:w="2670" w:type="dxa"/>
            <w:tcBorders>
              <w:top w:val="nil"/>
              <w:left w:val="nil"/>
              <w:bottom w:val="single" w:sz="6" w:space="0" w:color="000000"/>
              <w:right w:val="single" w:sz="6" w:space="0" w:color="000000"/>
            </w:tcBorders>
            <w:tcMar>
              <w:top w:w="100" w:type="dxa"/>
              <w:left w:w="100" w:type="dxa"/>
              <w:bottom w:w="100" w:type="dxa"/>
              <w:right w:w="100" w:type="dxa"/>
            </w:tcMar>
          </w:tcPr>
          <w:p w14:paraId="29BD1FA3"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Surya Setiawan</w:t>
            </w:r>
          </w:p>
          <w:p w14:paraId="318CD2AD" w14:textId="49C2975B" w:rsidR="00F913E9" w:rsidRPr="00E619C8" w:rsidRDefault="00F913E9" w:rsidP="00F913E9">
            <w:pPr>
              <w:rPr>
                <w:rFonts w:ascii="Arial" w:eastAsia="Arial" w:hAnsi="Arial" w:cs="Arial"/>
                <w:sz w:val="22"/>
                <w:szCs w:val="22"/>
              </w:rPr>
            </w:pPr>
          </w:p>
        </w:tc>
        <w:tc>
          <w:tcPr>
            <w:tcW w:w="2835" w:type="dxa"/>
            <w:tcBorders>
              <w:top w:val="nil"/>
              <w:left w:val="nil"/>
              <w:bottom w:val="single" w:sz="6" w:space="0" w:color="000000"/>
              <w:right w:val="single" w:sz="6" w:space="0" w:color="000000"/>
            </w:tcBorders>
            <w:tcMar>
              <w:top w:w="100" w:type="dxa"/>
              <w:left w:w="100" w:type="dxa"/>
              <w:bottom w:w="100" w:type="dxa"/>
              <w:right w:w="100" w:type="dxa"/>
            </w:tcMar>
          </w:tcPr>
          <w:p w14:paraId="027AFEDC"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JF Adyatama KPEariwisataan dan Ekonomi Kreatif</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438FE064" w14:textId="77777777" w:rsidR="00F913E9" w:rsidRPr="00FD5C43" w:rsidRDefault="00F913E9" w:rsidP="00F913E9">
            <w:pPr>
              <w:rPr>
                <w:rFonts w:ascii="Arial" w:eastAsia="Arial" w:hAnsi="Arial" w:cs="Arial"/>
                <w:sz w:val="22"/>
                <w:szCs w:val="22"/>
                <w:lang w:val="it-IT"/>
              </w:rPr>
            </w:pPr>
            <w:r w:rsidRPr="00FD5C43">
              <w:rPr>
                <w:rFonts w:ascii="Arial" w:eastAsia="Arial" w:hAnsi="Arial" w:cs="Arial"/>
                <w:sz w:val="22"/>
                <w:szCs w:val="22"/>
                <w:lang w:val="it-IT"/>
              </w:rPr>
              <w:t>Dinas Pariwisata Provinsi Nusa Tenggara Barat.</w:t>
            </w:r>
          </w:p>
        </w:tc>
      </w:tr>
      <w:tr w:rsidR="00F913E9" w:rsidRPr="00E619C8" w14:paraId="07281017" w14:textId="77777777" w:rsidTr="00350B2A">
        <w:trPr>
          <w:trHeight w:val="303"/>
        </w:trPr>
        <w:tc>
          <w:tcPr>
            <w:tcW w:w="7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7BB95C7" w14:textId="77777777" w:rsidR="00F913E9" w:rsidRPr="00E619C8" w:rsidRDefault="00F913E9" w:rsidP="00F913E9">
            <w:pPr>
              <w:ind w:left="560" w:right="-41" w:hanging="560"/>
              <w:jc w:val="center"/>
              <w:rPr>
                <w:rFonts w:ascii="Arial" w:eastAsia="Arial" w:hAnsi="Arial" w:cs="Arial"/>
                <w:sz w:val="22"/>
                <w:szCs w:val="22"/>
              </w:rPr>
            </w:pPr>
            <w:r w:rsidRPr="00E619C8">
              <w:rPr>
                <w:rFonts w:ascii="Arial" w:eastAsia="Arial" w:hAnsi="Arial" w:cs="Arial"/>
                <w:sz w:val="22"/>
                <w:szCs w:val="22"/>
              </w:rPr>
              <w:t>9.</w:t>
            </w:r>
          </w:p>
        </w:tc>
        <w:tc>
          <w:tcPr>
            <w:tcW w:w="2670" w:type="dxa"/>
            <w:tcBorders>
              <w:top w:val="nil"/>
              <w:left w:val="nil"/>
              <w:bottom w:val="single" w:sz="6" w:space="0" w:color="000000"/>
              <w:right w:val="single" w:sz="6" w:space="0" w:color="000000"/>
            </w:tcBorders>
            <w:tcMar>
              <w:top w:w="100" w:type="dxa"/>
              <w:left w:w="100" w:type="dxa"/>
              <w:bottom w:w="100" w:type="dxa"/>
              <w:right w:w="100" w:type="dxa"/>
            </w:tcMar>
          </w:tcPr>
          <w:p w14:paraId="158BDA93"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Ni Luh Putri Utami, S.T., M.T., M.Sc.</w:t>
            </w:r>
          </w:p>
          <w:p w14:paraId="008A7C30" w14:textId="49355773" w:rsidR="00F913E9" w:rsidRPr="00E619C8" w:rsidRDefault="00F913E9" w:rsidP="00F913E9">
            <w:pPr>
              <w:rPr>
                <w:rFonts w:ascii="Arial" w:eastAsia="Arial" w:hAnsi="Arial" w:cs="Arial"/>
                <w:sz w:val="22"/>
                <w:szCs w:val="22"/>
              </w:rPr>
            </w:pPr>
          </w:p>
        </w:tc>
        <w:tc>
          <w:tcPr>
            <w:tcW w:w="2835" w:type="dxa"/>
            <w:tcBorders>
              <w:top w:val="nil"/>
              <w:left w:val="nil"/>
              <w:bottom w:val="single" w:sz="6" w:space="0" w:color="000000"/>
              <w:right w:val="single" w:sz="6" w:space="0" w:color="000000"/>
            </w:tcBorders>
            <w:tcMar>
              <w:top w:w="100" w:type="dxa"/>
              <w:left w:w="100" w:type="dxa"/>
              <w:bottom w:w="100" w:type="dxa"/>
              <w:right w:w="100" w:type="dxa"/>
            </w:tcMar>
          </w:tcPr>
          <w:p w14:paraId="5BCADF14"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Penata Kelola Jalan dan Jembatan Ahli Madya</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10DCF177"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Dinas Pekerjaan Umum dan Penataan Ruang - Bina Marga</w:t>
            </w:r>
          </w:p>
        </w:tc>
      </w:tr>
      <w:tr w:rsidR="00F913E9" w:rsidRPr="00E619C8" w14:paraId="529B553A" w14:textId="77777777" w:rsidTr="00350B2A">
        <w:trPr>
          <w:trHeight w:val="331"/>
        </w:trPr>
        <w:tc>
          <w:tcPr>
            <w:tcW w:w="7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6FDFC21" w14:textId="77777777" w:rsidR="00F913E9" w:rsidRPr="00E619C8" w:rsidRDefault="00F913E9" w:rsidP="00F913E9">
            <w:pPr>
              <w:ind w:left="560" w:right="-41" w:hanging="560"/>
              <w:jc w:val="center"/>
              <w:rPr>
                <w:rFonts w:ascii="Arial" w:eastAsia="Arial" w:hAnsi="Arial" w:cs="Arial"/>
                <w:sz w:val="22"/>
                <w:szCs w:val="22"/>
              </w:rPr>
            </w:pPr>
            <w:r w:rsidRPr="00E619C8">
              <w:rPr>
                <w:rFonts w:ascii="Arial" w:eastAsia="Arial" w:hAnsi="Arial" w:cs="Arial"/>
                <w:sz w:val="22"/>
                <w:szCs w:val="22"/>
              </w:rPr>
              <w:t>10.</w:t>
            </w:r>
          </w:p>
        </w:tc>
        <w:tc>
          <w:tcPr>
            <w:tcW w:w="2670" w:type="dxa"/>
            <w:tcBorders>
              <w:top w:val="nil"/>
              <w:left w:val="nil"/>
              <w:bottom w:val="single" w:sz="6" w:space="0" w:color="000000"/>
              <w:right w:val="single" w:sz="6" w:space="0" w:color="000000"/>
            </w:tcBorders>
            <w:tcMar>
              <w:top w:w="100" w:type="dxa"/>
              <w:left w:w="100" w:type="dxa"/>
              <w:bottom w:w="100" w:type="dxa"/>
              <w:right w:w="100" w:type="dxa"/>
            </w:tcMar>
          </w:tcPr>
          <w:p w14:paraId="7642FF61"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Mohamad Jamaludin</w:t>
            </w:r>
          </w:p>
          <w:p w14:paraId="33BE90EE" w14:textId="1E68A501" w:rsidR="00F913E9" w:rsidRPr="00E619C8" w:rsidRDefault="00F913E9" w:rsidP="00F913E9">
            <w:pPr>
              <w:rPr>
                <w:rFonts w:ascii="Arial" w:eastAsia="Arial" w:hAnsi="Arial" w:cs="Arial"/>
                <w:sz w:val="22"/>
                <w:szCs w:val="22"/>
              </w:rPr>
            </w:pPr>
          </w:p>
        </w:tc>
        <w:tc>
          <w:tcPr>
            <w:tcW w:w="2835" w:type="dxa"/>
            <w:tcBorders>
              <w:top w:val="nil"/>
              <w:left w:val="nil"/>
              <w:bottom w:val="single" w:sz="6" w:space="0" w:color="000000"/>
              <w:right w:val="single" w:sz="6" w:space="0" w:color="000000"/>
            </w:tcBorders>
            <w:tcMar>
              <w:top w:w="100" w:type="dxa"/>
              <w:left w:w="100" w:type="dxa"/>
              <w:bottom w:w="100" w:type="dxa"/>
              <w:right w:w="100" w:type="dxa"/>
            </w:tcMar>
          </w:tcPr>
          <w:p w14:paraId="30CAC1DE"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Staff</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6D7C3F75"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Dinas Perindustrian Provinsi NTB</w:t>
            </w:r>
          </w:p>
        </w:tc>
      </w:tr>
      <w:tr w:rsidR="00F913E9" w:rsidRPr="00E619C8" w14:paraId="41A1B17E" w14:textId="77777777" w:rsidTr="00350B2A">
        <w:trPr>
          <w:trHeight w:val="369"/>
        </w:trPr>
        <w:tc>
          <w:tcPr>
            <w:tcW w:w="7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C21774D" w14:textId="77777777" w:rsidR="00F913E9" w:rsidRPr="00E619C8" w:rsidRDefault="00F913E9" w:rsidP="00F913E9">
            <w:pPr>
              <w:ind w:left="560" w:right="-41" w:hanging="560"/>
              <w:jc w:val="center"/>
              <w:rPr>
                <w:rFonts w:ascii="Arial" w:eastAsia="Arial" w:hAnsi="Arial" w:cs="Arial"/>
                <w:sz w:val="22"/>
                <w:szCs w:val="22"/>
              </w:rPr>
            </w:pPr>
            <w:r w:rsidRPr="00E619C8">
              <w:rPr>
                <w:rFonts w:ascii="Arial" w:eastAsia="Arial" w:hAnsi="Arial" w:cs="Arial"/>
                <w:sz w:val="22"/>
                <w:szCs w:val="22"/>
              </w:rPr>
              <w:t>11.</w:t>
            </w:r>
          </w:p>
        </w:tc>
        <w:tc>
          <w:tcPr>
            <w:tcW w:w="2670" w:type="dxa"/>
            <w:tcBorders>
              <w:top w:val="nil"/>
              <w:left w:val="nil"/>
              <w:bottom w:val="single" w:sz="6" w:space="0" w:color="000000"/>
              <w:right w:val="single" w:sz="6" w:space="0" w:color="000000"/>
            </w:tcBorders>
            <w:tcMar>
              <w:top w:w="100" w:type="dxa"/>
              <w:left w:w="100" w:type="dxa"/>
              <w:bottom w:w="100" w:type="dxa"/>
              <w:right w:w="100" w:type="dxa"/>
            </w:tcMar>
          </w:tcPr>
          <w:p w14:paraId="4BC432D8"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Achmad Arief</w:t>
            </w:r>
          </w:p>
          <w:p w14:paraId="32632B32" w14:textId="2F8EE31E" w:rsidR="00F913E9" w:rsidRPr="00E619C8" w:rsidRDefault="00F913E9" w:rsidP="00F913E9">
            <w:pPr>
              <w:rPr>
                <w:rFonts w:ascii="Arial" w:eastAsia="Arial" w:hAnsi="Arial" w:cs="Arial"/>
                <w:sz w:val="22"/>
                <w:szCs w:val="22"/>
              </w:rPr>
            </w:pPr>
          </w:p>
        </w:tc>
        <w:tc>
          <w:tcPr>
            <w:tcW w:w="2835" w:type="dxa"/>
            <w:tcBorders>
              <w:top w:val="nil"/>
              <w:left w:val="nil"/>
              <w:bottom w:val="single" w:sz="6" w:space="0" w:color="000000"/>
              <w:right w:val="single" w:sz="6" w:space="0" w:color="000000"/>
            </w:tcBorders>
            <w:tcMar>
              <w:top w:w="100" w:type="dxa"/>
              <w:left w:w="100" w:type="dxa"/>
              <w:bottom w:w="100" w:type="dxa"/>
              <w:right w:w="100" w:type="dxa"/>
            </w:tcMar>
          </w:tcPr>
          <w:p w14:paraId="217CFDF9"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Staf PPID</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53280702"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Dinas Pertanian dan Perkebunan</w:t>
            </w:r>
          </w:p>
        </w:tc>
      </w:tr>
      <w:tr w:rsidR="00F913E9" w:rsidRPr="00E619C8" w14:paraId="46236F40" w14:textId="77777777" w:rsidTr="00350B2A">
        <w:trPr>
          <w:trHeight w:val="141"/>
        </w:trPr>
        <w:tc>
          <w:tcPr>
            <w:tcW w:w="7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322F979" w14:textId="77777777" w:rsidR="00F913E9" w:rsidRPr="00E619C8" w:rsidRDefault="00F913E9" w:rsidP="00F913E9">
            <w:pPr>
              <w:ind w:left="560" w:right="-41" w:hanging="560"/>
              <w:jc w:val="center"/>
              <w:rPr>
                <w:rFonts w:ascii="Arial" w:eastAsia="Arial" w:hAnsi="Arial" w:cs="Arial"/>
                <w:sz w:val="22"/>
                <w:szCs w:val="22"/>
              </w:rPr>
            </w:pPr>
            <w:r w:rsidRPr="00E619C8">
              <w:rPr>
                <w:rFonts w:ascii="Arial" w:eastAsia="Arial" w:hAnsi="Arial" w:cs="Arial"/>
                <w:sz w:val="22"/>
                <w:szCs w:val="22"/>
              </w:rPr>
              <w:t>12.</w:t>
            </w:r>
          </w:p>
        </w:tc>
        <w:tc>
          <w:tcPr>
            <w:tcW w:w="2670" w:type="dxa"/>
            <w:tcBorders>
              <w:top w:val="nil"/>
              <w:left w:val="nil"/>
              <w:bottom w:val="single" w:sz="6" w:space="0" w:color="000000"/>
              <w:right w:val="single" w:sz="6" w:space="0" w:color="000000"/>
            </w:tcBorders>
            <w:tcMar>
              <w:top w:w="100" w:type="dxa"/>
              <w:left w:w="100" w:type="dxa"/>
              <w:bottom w:w="100" w:type="dxa"/>
              <w:right w:w="100" w:type="dxa"/>
            </w:tcMar>
          </w:tcPr>
          <w:p w14:paraId="3669752A"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Kamardy Arief, A.Md.</w:t>
            </w:r>
          </w:p>
          <w:p w14:paraId="1445AB3B" w14:textId="17ABC1E1" w:rsidR="00F913E9" w:rsidRPr="00E619C8" w:rsidRDefault="00F913E9" w:rsidP="00F913E9">
            <w:pPr>
              <w:rPr>
                <w:rFonts w:ascii="Arial" w:eastAsia="Arial" w:hAnsi="Arial" w:cs="Arial"/>
                <w:sz w:val="22"/>
                <w:szCs w:val="22"/>
              </w:rPr>
            </w:pPr>
          </w:p>
        </w:tc>
        <w:tc>
          <w:tcPr>
            <w:tcW w:w="2835" w:type="dxa"/>
            <w:tcBorders>
              <w:top w:val="nil"/>
              <w:left w:val="nil"/>
              <w:bottom w:val="single" w:sz="6" w:space="0" w:color="000000"/>
              <w:right w:val="single" w:sz="6" w:space="0" w:color="000000"/>
            </w:tcBorders>
            <w:tcMar>
              <w:top w:w="100" w:type="dxa"/>
              <w:left w:w="100" w:type="dxa"/>
              <w:bottom w:w="100" w:type="dxa"/>
              <w:right w:w="100" w:type="dxa"/>
            </w:tcMar>
          </w:tcPr>
          <w:p w14:paraId="4FC6C5B5"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Pengurus Barang</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179B9157"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Rumah Sakit H.L. Manambai Abdul Kadir</w:t>
            </w:r>
          </w:p>
        </w:tc>
      </w:tr>
      <w:tr w:rsidR="00F913E9" w:rsidRPr="00FD5C43" w14:paraId="50FA3EF4" w14:textId="77777777" w:rsidTr="00350B2A">
        <w:trPr>
          <w:trHeight w:val="498"/>
        </w:trPr>
        <w:tc>
          <w:tcPr>
            <w:tcW w:w="7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86FD060" w14:textId="77777777" w:rsidR="00F913E9" w:rsidRPr="00E619C8" w:rsidRDefault="00F913E9" w:rsidP="00F913E9">
            <w:pPr>
              <w:ind w:left="560" w:right="-41" w:hanging="560"/>
              <w:jc w:val="center"/>
              <w:rPr>
                <w:rFonts w:ascii="Arial" w:eastAsia="Arial" w:hAnsi="Arial" w:cs="Arial"/>
                <w:sz w:val="22"/>
                <w:szCs w:val="22"/>
              </w:rPr>
            </w:pPr>
            <w:r w:rsidRPr="00E619C8">
              <w:rPr>
                <w:rFonts w:ascii="Arial" w:eastAsia="Arial" w:hAnsi="Arial" w:cs="Arial"/>
                <w:sz w:val="22"/>
                <w:szCs w:val="22"/>
              </w:rPr>
              <w:t>13</w:t>
            </w:r>
          </w:p>
        </w:tc>
        <w:tc>
          <w:tcPr>
            <w:tcW w:w="2670" w:type="dxa"/>
            <w:tcBorders>
              <w:top w:val="nil"/>
              <w:left w:val="nil"/>
              <w:bottom w:val="single" w:sz="6" w:space="0" w:color="000000"/>
              <w:right w:val="single" w:sz="6" w:space="0" w:color="000000"/>
            </w:tcBorders>
            <w:tcMar>
              <w:top w:w="100" w:type="dxa"/>
              <w:left w:w="100" w:type="dxa"/>
              <w:bottom w:w="100" w:type="dxa"/>
              <w:right w:w="100" w:type="dxa"/>
            </w:tcMar>
          </w:tcPr>
          <w:p w14:paraId="37E910C7"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Poppy Pujawati</w:t>
            </w:r>
          </w:p>
          <w:p w14:paraId="2E9F5401" w14:textId="33398F42" w:rsidR="00F913E9" w:rsidRPr="00E619C8" w:rsidRDefault="00F913E9" w:rsidP="00F913E9">
            <w:pPr>
              <w:rPr>
                <w:rFonts w:ascii="Arial" w:eastAsia="Arial" w:hAnsi="Arial" w:cs="Arial"/>
                <w:sz w:val="22"/>
                <w:szCs w:val="22"/>
              </w:rPr>
            </w:pPr>
          </w:p>
        </w:tc>
        <w:tc>
          <w:tcPr>
            <w:tcW w:w="2835" w:type="dxa"/>
            <w:tcBorders>
              <w:top w:val="nil"/>
              <w:left w:val="nil"/>
              <w:bottom w:val="single" w:sz="6" w:space="0" w:color="000000"/>
              <w:right w:val="single" w:sz="6" w:space="0" w:color="000000"/>
            </w:tcBorders>
            <w:tcMar>
              <w:top w:w="100" w:type="dxa"/>
              <w:left w:w="100" w:type="dxa"/>
              <w:bottom w:w="100" w:type="dxa"/>
              <w:right w:w="100" w:type="dxa"/>
            </w:tcMar>
          </w:tcPr>
          <w:p w14:paraId="3166694E"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Kasubag Umum dan Kepegaiawaian</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40E29EFE" w14:textId="77777777" w:rsidR="00F913E9" w:rsidRPr="00FD5C43" w:rsidRDefault="00F913E9" w:rsidP="00F913E9">
            <w:pPr>
              <w:rPr>
                <w:rFonts w:ascii="Arial" w:eastAsia="Arial" w:hAnsi="Arial" w:cs="Arial"/>
                <w:sz w:val="22"/>
                <w:szCs w:val="22"/>
                <w:lang w:val="it-IT"/>
              </w:rPr>
            </w:pPr>
            <w:r w:rsidRPr="00FD5C43">
              <w:rPr>
                <w:rFonts w:ascii="Arial" w:eastAsia="Arial" w:hAnsi="Arial" w:cs="Arial"/>
                <w:sz w:val="22"/>
                <w:szCs w:val="22"/>
                <w:lang w:val="it-IT"/>
              </w:rPr>
              <w:t>Badan Pengelolaan Pendapatan Daerah Prov. Nusa Tenggara Barat.</w:t>
            </w:r>
          </w:p>
        </w:tc>
      </w:tr>
      <w:tr w:rsidR="00F913E9" w:rsidRPr="00E619C8" w14:paraId="16DD87B6" w14:textId="77777777" w:rsidTr="00350B2A">
        <w:trPr>
          <w:trHeight w:val="146"/>
        </w:trPr>
        <w:tc>
          <w:tcPr>
            <w:tcW w:w="7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B4DF7D3" w14:textId="77777777" w:rsidR="00F913E9" w:rsidRPr="00E619C8" w:rsidRDefault="00F913E9" w:rsidP="00F913E9">
            <w:pPr>
              <w:ind w:left="560" w:right="-41" w:hanging="560"/>
              <w:jc w:val="center"/>
              <w:rPr>
                <w:rFonts w:ascii="Arial" w:eastAsia="Arial" w:hAnsi="Arial" w:cs="Arial"/>
                <w:sz w:val="22"/>
                <w:szCs w:val="22"/>
              </w:rPr>
            </w:pPr>
            <w:r w:rsidRPr="00E619C8">
              <w:rPr>
                <w:rFonts w:ascii="Arial" w:eastAsia="Arial" w:hAnsi="Arial" w:cs="Arial"/>
                <w:sz w:val="22"/>
                <w:szCs w:val="22"/>
              </w:rPr>
              <w:t>14.</w:t>
            </w:r>
          </w:p>
        </w:tc>
        <w:tc>
          <w:tcPr>
            <w:tcW w:w="2670" w:type="dxa"/>
            <w:tcBorders>
              <w:top w:val="nil"/>
              <w:left w:val="nil"/>
              <w:bottom w:val="single" w:sz="6" w:space="0" w:color="000000"/>
              <w:right w:val="single" w:sz="6" w:space="0" w:color="000000"/>
            </w:tcBorders>
            <w:tcMar>
              <w:top w:w="100" w:type="dxa"/>
              <w:left w:w="100" w:type="dxa"/>
              <w:bottom w:w="100" w:type="dxa"/>
              <w:right w:w="100" w:type="dxa"/>
            </w:tcMar>
          </w:tcPr>
          <w:p w14:paraId="2690CAF0" w14:textId="77777777" w:rsidR="00F913E9" w:rsidRPr="00FD5C43" w:rsidRDefault="00F913E9" w:rsidP="00F913E9">
            <w:pPr>
              <w:rPr>
                <w:rFonts w:ascii="Arial" w:eastAsia="Arial" w:hAnsi="Arial" w:cs="Arial"/>
                <w:sz w:val="22"/>
                <w:szCs w:val="22"/>
                <w:lang w:val="it-IT"/>
              </w:rPr>
            </w:pPr>
            <w:r w:rsidRPr="00FD5C43">
              <w:rPr>
                <w:rFonts w:ascii="Arial" w:eastAsia="Arial" w:hAnsi="Arial" w:cs="Arial"/>
                <w:sz w:val="22"/>
                <w:szCs w:val="22"/>
                <w:lang w:val="it-IT"/>
              </w:rPr>
              <w:t>Andika Zuhdi Ramdani, S.T.</w:t>
            </w:r>
          </w:p>
          <w:p w14:paraId="6A4AB5BB" w14:textId="4239AB7F" w:rsidR="00F913E9" w:rsidRPr="00FD5C43" w:rsidRDefault="00F913E9" w:rsidP="00F913E9">
            <w:pPr>
              <w:rPr>
                <w:rFonts w:ascii="Arial" w:eastAsia="Arial" w:hAnsi="Arial" w:cs="Arial"/>
                <w:sz w:val="22"/>
                <w:szCs w:val="22"/>
                <w:lang w:val="it-IT"/>
              </w:rPr>
            </w:pPr>
          </w:p>
        </w:tc>
        <w:tc>
          <w:tcPr>
            <w:tcW w:w="2835" w:type="dxa"/>
            <w:tcBorders>
              <w:top w:val="nil"/>
              <w:left w:val="nil"/>
              <w:bottom w:val="single" w:sz="6" w:space="0" w:color="000000"/>
              <w:right w:val="single" w:sz="6" w:space="0" w:color="000000"/>
            </w:tcBorders>
            <w:tcMar>
              <w:top w:w="100" w:type="dxa"/>
              <w:left w:w="100" w:type="dxa"/>
              <w:bottom w:w="100" w:type="dxa"/>
              <w:right w:w="100" w:type="dxa"/>
            </w:tcMar>
          </w:tcPr>
          <w:p w14:paraId="4F2AB9DF" w14:textId="77777777" w:rsidR="00F913E9" w:rsidRPr="00A35C76" w:rsidRDefault="00F913E9" w:rsidP="00F913E9">
            <w:pPr>
              <w:rPr>
                <w:rFonts w:ascii="Arial" w:eastAsia="Arial" w:hAnsi="Arial" w:cs="Arial"/>
                <w:sz w:val="22"/>
                <w:szCs w:val="22"/>
                <w:lang w:val="it-IT"/>
              </w:rPr>
            </w:pPr>
            <w:r w:rsidRPr="00A35C76">
              <w:rPr>
                <w:rFonts w:ascii="Arial" w:eastAsia="Arial" w:hAnsi="Arial" w:cs="Arial"/>
                <w:sz w:val="22"/>
                <w:szCs w:val="22"/>
                <w:lang w:val="it-IT"/>
              </w:rPr>
              <w:t>JFT Ahli Pertama Teknik Pengairan</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35299247"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Dinas Pekerjaan Umum dan Penataan Ruang Bidang Sumber Daya Air</w:t>
            </w:r>
          </w:p>
        </w:tc>
      </w:tr>
      <w:tr w:rsidR="00F913E9" w:rsidRPr="00E619C8" w14:paraId="6FE7A738" w14:textId="77777777" w:rsidTr="00350B2A">
        <w:trPr>
          <w:trHeight w:val="20"/>
        </w:trPr>
        <w:tc>
          <w:tcPr>
            <w:tcW w:w="7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BAC0365" w14:textId="77777777" w:rsidR="00F913E9" w:rsidRPr="00E619C8" w:rsidRDefault="00F913E9" w:rsidP="00F913E9">
            <w:pPr>
              <w:ind w:left="560" w:right="-41" w:hanging="560"/>
              <w:jc w:val="center"/>
              <w:rPr>
                <w:rFonts w:ascii="Arial" w:eastAsia="Arial" w:hAnsi="Arial" w:cs="Arial"/>
                <w:sz w:val="22"/>
                <w:szCs w:val="22"/>
              </w:rPr>
            </w:pPr>
            <w:r w:rsidRPr="00E619C8">
              <w:rPr>
                <w:rFonts w:ascii="Arial" w:eastAsia="Arial" w:hAnsi="Arial" w:cs="Arial"/>
                <w:sz w:val="22"/>
                <w:szCs w:val="22"/>
              </w:rPr>
              <w:t>15.</w:t>
            </w:r>
          </w:p>
        </w:tc>
        <w:tc>
          <w:tcPr>
            <w:tcW w:w="2670" w:type="dxa"/>
            <w:tcBorders>
              <w:top w:val="nil"/>
              <w:left w:val="nil"/>
              <w:bottom w:val="single" w:sz="6" w:space="0" w:color="000000"/>
              <w:right w:val="single" w:sz="6" w:space="0" w:color="000000"/>
            </w:tcBorders>
            <w:tcMar>
              <w:top w:w="100" w:type="dxa"/>
              <w:left w:w="100" w:type="dxa"/>
              <w:bottom w:w="100" w:type="dxa"/>
              <w:right w:w="100" w:type="dxa"/>
            </w:tcMar>
          </w:tcPr>
          <w:p w14:paraId="34247A86"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Wahyudin Hariyadi</w:t>
            </w:r>
          </w:p>
          <w:p w14:paraId="4049C1F8" w14:textId="3974FCC8" w:rsidR="00F913E9" w:rsidRPr="00E619C8" w:rsidRDefault="00F913E9" w:rsidP="00F913E9">
            <w:pPr>
              <w:rPr>
                <w:rFonts w:ascii="Arial" w:eastAsia="Arial" w:hAnsi="Arial" w:cs="Arial"/>
                <w:sz w:val="22"/>
                <w:szCs w:val="22"/>
              </w:rPr>
            </w:pPr>
          </w:p>
        </w:tc>
        <w:tc>
          <w:tcPr>
            <w:tcW w:w="2835" w:type="dxa"/>
            <w:tcBorders>
              <w:top w:val="nil"/>
              <w:left w:val="nil"/>
              <w:bottom w:val="single" w:sz="6" w:space="0" w:color="000000"/>
              <w:right w:val="single" w:sz="6" w:space="0" w:color="000000"/>
            </w:tcBorders>
            <w:tcMar>
              <w:top w:w="100" w:type="dxa"/>
              <w:left w:w="100" w:type="dxa"/>
              <w:bottom w:w="100" w:type="dxa"/>
              <w:right w:w="100" w:type="dxa"/>
            </w:tcMar>
          </w:tcPr>
          <w:p w14:paraId="68A30F53"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Staf PPID</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528FC0E3"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Dinas Perumahan dan Pemukiman</w:t>
            </w:r>
          </w:p>
        </w:tc>
      </w:tr>
      <w:tr w:rsidR="00F913E9" w:rsidRPr="00E619C8" w14:paraId="6DDD079C" w14:textId="77777777" w:rsidTr="00350B2A">
        <w:trPr>
          <w:trHeight w:val="121"/>
        </w:trPr>
        <w:tc>
          <w:tcPr>
            <w:tcW w:w="7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2506F89F" w14:textId="77777777" w:rsidR="00F913E9" w:rsidRPr="00E619C8" w:rsidRDefault="00F913E9" w:rsidP="00F913E9">
            <w:pPr>
              <w:ind w:left="560" w:right="-41" w:hanging="560"/>
              <w:jc w:val="center"/>
              <w:rPr>
                <w:rFonts w:ascii="Arial" w:eastAsia="Arial" w:hAnsi="Arial" w:cs="Arial"/>
                <w:sz w:val="22"/>
                <w:szCs w:val="22"/>
              </w:rPr>
            </w:pPr>
            <w:r w:rsidRPr="00E619C8">
              <w:rPr>
                <w:rFonts w:ascii="Arial" w:eastAsia="Arial" w:hAnsi="Arial" w:cs="Arial"/>
                <w:sz w:val="22"/>
                <w:szCs w:val="22"/>
              </w:rPr>
              <w:t>16</w:t>
            </w:r>
          </w:p>
        </w:tc>
        <w:tc>
          <w:tcPr>
            <w:tcW w:w="2670" w:type="dxa"/>
            <w:tcBorders>
              <w:top w:val="nil"/>
              <w:left w:val="nil"/>
              <w:bottom w:val="single" w:sz="6" w:space="0" w:color="000000"/>
              <w:right w:val="single" w:sz="6" w:space="0" w:color="000000"/>
            </w:tcBorders>
            <w:tcMar>
              <w:top w:w="100" w:type="dxa"/>
              <w:left w:w="100" w:type="dxa"/>
              <w:bottom w:w="100" w:type="dxa"/>
              <w:right w:w="100" w:type="dxa"/>
            </w:tcMar>
          </w:tcPr>
          <w:p w14:paraId="3089AC1D"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Firman Hermawan</w:t>
            </w:r>
          </w:p>
          <w:p w14:paraId="24266B20" w14:textId="58124FBC" w:rsidR="00F913E9" w:rsidRPr="00E619C8" w:rsidRDefault="00F913E9" w:rsidP="00F913E9">
            <w:pPr>
              <w:rPr>
                <w:rFonts w:ascii="Arial" w:eastAsia="Arial" w:hAnsi="Arial" w:cs="Arial"/>
                <w:sz w:val="22"/>
                <w:szCs w:val="22"/>
              </w:rPr>
            </w:pPr>
          </w:p>
        </w:tc>
        <w:tc>
          <w:tcPr>
            <w:tcW w:w="2835" w:type="dxa"/>
            <w:tcBorders>
              <w:top w:val="nil"/>
              <w:left w:val="nil"/>
              <w:bottom w:val="single" w:sz="6" w:space="0" w:color="000000"/>
              <w:right w:val="single" w:sz="6" w:space="0" w:color="000000"/>
            </w:tcBorders>
            <w:tcMar>
              <w:top w:w="100" w:type="dxa"/>
              <w:left w:w="100" w:type="dxa"/>
              <w:bottom w:w="100" w:type="dxa"/>
              <w:right w:w="100" w:type="dxa"/>
            </w:tcMar>
          </w:tcPr>
          <w:p w14:paraId="70E8752D"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JF Pembina Jasa Konstruksi</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20E43549"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Rumah Sakit Umum Daerah Prov. NTB</w:t>
            </w:r>
          </w:p>
        </w:tc>
      </w:tr>
      <w:tr w:rsidR="00F913E9" w:rsidRPr="00E619C8" w14:paraId="2C625C82" w14:textId="77777777" w:rsidTr="00350B2A">
        <w:trPr>
          <w:trHeight w:val="20"/>
        </w:trPr>
        <w:tc>
          <w:tcPr>
            <w:tcW w:w="7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379E08F" w14:textId="77777777" w:rsidR="00F913E9" w:rsidRPr="00E619C8" w:rsidRDefault="00F913E9" w:rsidP="00F913E9">
            <w:pPr>
              <w:ind w:left="560" w:right="-41" w:hanging="560"/>
              <w:jc w:val="center"/>
              <w:rPr>
                <w:rFonts w:ascii="Arial" w:eastAsia="Arial" w:hAnsi="Arial" w:cs="Arial"/>
                <w:sz w:val="22"/>
                <w:szCs w:val="22"/>
              </w:rPr>
            </w:pPr>
            <w:r w:rsidRPr="00E619C8">
              <w:rPr>
                <w:rFonts w:ascii="Arial" w:eastAsia="Arial" w:hAnsi="Arial" w:cs="Arial"/>
                <w:sz w:val="22"/>
                <w:szCs w:val="22"/>
              </w:rPr>
              <w:t>18.</w:t>
            </w:r>
          </w:p>
        </w:tc>
        <w:tc>
          <w:tcPr>
            <w:tcW w:w="2670" w:type="dxa"/>
            <w:tcBorders>
              <w:top w:val="nil"/>
              <w:left w:val="nil"/>
              <w:bottom w:val="single" w:sz="6" w:space="0" w:color="000000"/>
              <w:right w:val="single" w:sz="6" w:space="0" w:color="000000"/>
            </w:tcBorders>
            <w:tcMar>
              <w:top w:w="100" w:type="dxa"/>
              <w:left w:w="100" w:type="dxa"/>
              <w:bottom w:w="100" w:type="dxa"/>
              <w:right w:w="100" w:type="dxa"/>
            </w:tcMar>
          </w:tcPr>
          <w:p w14:paraId="52159643"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Arif Rahman, SH</w:t>
            </w:r>
          </w:p>
          <w:p w14:paraId="344AAA42" w14:textId="5189B949" w:rsidR="00F913E9" w:rsidRPr="00E619C8" w:rsidRDefault="00F913E9" w:rsidP="00F913E9">
            <w:pPr>
              <w:rPr>
                <w:rFonts w:ascii="Arial" w:eastAsia="Arial" w:hAnsi="Arial" w:cs="Arial"/>
                <w:sz w:val="22"/>
                <w:szCs w:val="22"/>
              </w:rPr>
            </w:pPr>
          </w:p>
        </w:tc>
        <w:tc>
          <w:tcPr>
            <w:tcW w:w="2835" w:type="dxa"/>
            <w:tcBorders>
              <w:top w:val="nil"/>
              <w:left w:val="nil"/>
              <w:bottom w:val="single" w:sz="6" w:space="0" w:color="000000"/>
              <w:right w:val="single" w:sz="6" w:space="0" w:color="000000"/>
            </w:tcBorders>
            <w:tcMar>
              <w:top w:w="100" w:type="dxa"/>
              <w:left w:w="100" w:type="dxa"/>
              <w:bottom w:w="100" w:type="dxa"/>
              <w:right w:w="100" w:type="dxa"/>
            </w:tcMar>
          </w:tcPr>
          <w:p w14:paraId="2F72885C"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Analis Hukum Ahli Pertama</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57E5F7DA"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Rumah Sakit Mandalika</w:t>
            </w:r>
          </w:p>
        </w:tc>
      </w:tr>
      <w:tr w:rsidR="00F913E9" w:rsidRPr="00E619C8" w14:paraId="78ECD3D1" w14:textId="77777777" w:rsidTr="00350B2A">
        <w:trPr>
          <w:trHeight w:val="20"/>
        </w:trPr>
        <w:tc>
          <w:tcPr>
            <w:tcW w:w="7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483B9CC" w14:textId="77777777" w:rsidR="00F913E9" w:rsidRPr="00E619C8" w:rsidRDefault="00F913E9" w:rsidP="00F913E9">
            <w:pPr>
              <w:ind w:left="560" w:right="-41" w:hanging="560"/>
              <w:jc w:val="center"/>
              <w:rPr>
                <w:rFonts w:ascii="Arial" w:eastAsia="Arial" w:hAnsi="Arial" w:cs="Arial"/>
                <w:sz w:val="22"/>
                <w:szCs w:val="22"/>
              </w:rPr>
            </w:pPr>
            <w:r w:rsidRPr="00E619C8">
              <w:rPr>
                <w:rFonts w:ascii="Arial" w:eastAsia="Arial" w:hAnsi="Arial" w:cs="Arial"/>
                <w:sz w:val="22"/>
                <w:szCs w:val="22"/>
              </w:rPr>
              <w:t>17.</w:t>
            </w:r>
          </w:p>
        </w:tc>
        <w:tc>
          <w:tcPr>
            <w:tcW w:w="2670" w:type="dxa"/>
            <w:tcBorders>
              <w:top w:val="nil"/>
              <w:left w:val="nil"/>
              <w:bottom w:val="single" w:sz="6" w:space="0" w:color="000000"/>
              <w:right w:val="single" w:sz="6" w:space="0" w:color="000000"/>
            </w:tcBorders>
            <w:tcMar>
              <w:top w:w="100" w:type="dxa"/>
              <w:left w:w="100" w:type="dxa"/>
              <w:bottom w:w="100" w:type="dxa"/>
              <w:right w:w="100" w:type="dxa"/>
            </w:tcMar>
          </w:tcPr>
          <w:p w14:paraId="11BF8407"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Novita Veranita</w:t>
            </w:r>
          </w:p>
          <w:p w14:paraId="0ED190D5" w14:textId="2B960521" w:rsidR="00F913E9" w:rsidRPr="00E619C8" w:rsidRDefault="00F913E9" w:rsidP="00F913E9">
            <w:pPr>
              <w:rPr>
                <w:rFonts w:ascii="Arial" w:eastAsia="Arial" w:hAnsi="Arial" w:cs="Arial"/>
                <w:sz w:val="22"/>
                <w:szCs w:val="22"/>
              </w:rPr>
            </w:pPr>
          </w:p>
        </w:tc>
        <w:tc>
          <w:tcPr>
            <w:tcW w:w="2835" w:type="dxa"/>
            <w:tcBorders>
              <w:top w:val="nil"/>
              <w:left w:val="nil"/>
              <w:bottom w:val="single" w:sz="6" w:space="0" w:color="000000"/>
              <w:right w:val="single" w:sz="6" w:space="0" w:color="000000"/>
            </w:tcBorders>
            <w:tcMar>
              <w:top w:w="100" w:type="dxa"/>
              <w:left w:w="100" w:type="dxa"/>
              <w:bottom w:w="100" w:type="dxa"/>
              <w:right w:w="100" w:type="dxa"/>
            </w:tcMar>
          </w:tcPr>
          <w:p w14:paraId="18ADE544"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Kasubag Umpeg dan RT</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624129C8"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Rumah Sakit Jiwa Mutiara Sukma Mataram</w:t>
            </w:r>
          </w:p>
        </w:tc>
      </w:tr>
      <w:tr w:rsidR="00F913E9" w:rsidRPr="00E619C8" w14:paraId="15A6DE09" w14:textId="77777777">
        <w:trPr>
          <w:trHeight w:val="735"/>
        </w:trPr>
        <w:tc>
          <w:tcPr>
            <w:tcW w:w="735"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086E3ED" w14:textId="77777777" w:rsidR="00F913E9" w:rsidRPr="00E619C8" w:rsidRDefault="00F913E9" w:rsidP="00F913E9">
            <w:pPr>
              <w:ind w:left="560" w:right="-41" w:hanging="560"/>
              <w:jc w:val="center"/>
              <w:rPr>
                <w:rFonts w:ascii="Arial" w:eastAsia="Arial" w:hAnsi="Arial" w:cs="Arial"/>
                <w:sz w:val="22"/>
                <w:szCs w:val="22"/>
              </w:rPr>
            </w:pPr>
            <w:r w:rsidRPr="00E619C8">
              <w:rPr>
                <w:rFonts w:ascii="Arial" w:eastAsia="Arial" w:hAnsi="Arial" w:cs="Arial"/>
                <w:sz w:val="22"/>
                <w:szCs w:val="22"/>
              </w:rPr>
              <w:t>19.</w:t>
            </w:r>
          </w:p>
        </w:tc>
        <w:tc>
          <w:tcPr>
            <w:tcW w:w="2670" w:type="dxa"/>
            <w:tcBorders>
              <w:top w:val="nil"/>
              <w:left w:val="nil"/>
              <w:bottom w:val="single" w:sz="6" w:space="0" w:color="000000"/>
              <w:right w:val="single" w:sz="6" w:space="0" w:color="000000"/>
            </w:tcBorders>
            <w:tcMar>
              <w:top w:w="100" w:type="dxa"/>
              <w:left w:w="100" w:type="dxa"/>
              <w:bottom w:w="100" w:type="dxa"/>
              <w:right w:w="100" w:type="dxa"/>
            </w:tcMar>
          </w:tcPr>
          <w:p w14:paraId="33200FFF"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Wandi, SIP</w:t>
            </w:r>
          </w:p>
          <w:p w14:paraId="328375BA" w14:textId="354F9423" w:rsidR="00F913E9" w:rsidRPr="00E619C8" w:rsidRDefault="00F913E9" w:rsidP="00F913E9">
            <w:pPr>
              <w:rPr>
                <w:rFonts w:ascii="Arial" w:eastAsia="Arial" w:hAnsi="Arial" w:cs="Arial"/>
                <w:sz w:val="22"/>
                <w:szCs w:val="22"/>
              </w:rPr>
            </w:pPr>
          </w:p>
        </w:tc>
        <w:tc>
          <w:tcPr>
            <w:tcW w:w="2835" w:type="dxa"/>
            <w:tcBorders>
              <w:top w:val="nil"/>
              <w:left w:val="nil"/>
              <w:bottom w:val="single" w:sz="6" w:space="0" w:color="000000"/>
              <w:right w:val="single" w:sz="6" w:space="0" w:color="000000"/>
            </w:tcBorders>
            <w:tcMar>
              <w:top w:w="100" w:type="dxa"/>
              <w:left w:w="100" w:type="dxa"/>
              <w:bottom w:w="100" w:type="dxa"/>
              <w:right w:w="100" w:type="dxa"/>
            </w:tcMar>
          </w:tcPr>
          <w:p w14:paraId="784837DC"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Staf</w:t>
            </w:r>
          </w:p>
        </w:tc>
        <w:tc>
          <w:tcPr>
            <w:tcW w:w="2790" w:type="dxa"/>
            <w:tcBorders>
              <w:top w:val="nil"/>
              <w:left w:val="nil"/>
              <w:bottom w:val="single" w:sz="6" w:space="0" w:color="000000"/>
              <w:right w:val="single" w:sz="6" w:space="0" w:color="000000"/>
            </w:tcBorders>
            <w:tcMar>
              <w:top w:w="100" w:type="dxa"/>
              <w:left w:w="100" w:type="dxa"/>
              <w:bottom w:w="100" w:type="dxa"/>
              <w:right w:w="100" w:type="dxa"/>
            </w:tcMar>
          </w:tcPr>
          <w:p w14:paraId="0593E438" w14:textId="77777777" w:rsidR="00F913E9" w:rsidRPr="00E619C8" w:rsidRDefault="00F913E9" w:rsidP="00F913E9">
            <w:pPr>
              <w:rPr>
                <w:rFonts w:ascii="Arial" w:eastAsia="Arial" w:hAnsi="Arial" w:cs="Arial"/>
                <w:sz w:val="22"/>
                <w:szCs w:val="22"/>
              </w:rPr>
            </w:pPr>
            <w:r w:rsidRPr="00E619C8">
              <w:rPr>
                <w:rFonts w:ascii="Arial" w:eastAsia="Arial" w:hAnsi="Arial" w:cs="Arial"/>
                <w:sz w:val="22"/>
                <w:szCs w:val="22"/>
              </w:rPr>
              <w:t>Sekretariat DPRD Prov. Nusa Tenggara Barat</w:t>
            </w:r>
          </w:p>
        </w:tc>
      </w:tr>
    </w:tbl>
    <w:p w14:paraId="007F3233" w14:textId="52759EE5" w:rsidR="00627C36" w:rsidRPr="00E619C8" w:rsidRDefault="00DD0F1A" w:rsidP="00A35C76">
      <w:pPr>
        <w:pBdr>
          <w:top w:val="nil"/>
          <w:left w:val="nil"/>
          <w:bottom w:val="nil"/>
          <w:right w:val="nil"/>
          <w:between w:val="nil"/>
        </w:pBdr>
        <w:spacing w:before="240" w:after="160" w:line="300" w:lineRule="auto"/>
        <w:jc w:val="center"/>
        <w:rPr>
          <w:rFonts w:ascii="Arial" w:eastAsia="Arial" w:hAnsi="Arial" w:cs="Arial"/>
          <w:sz w:val="22"/>
          <w:szCs w:val="22"/>
        </w:rPr>
      </w:pPr>
      <w:r w:rsidRPr="00E619C8">
        <w:rPr>
          <w:rFonts w:ascii="Arial" w:eastAsia="Arial" w:hAnsi="Arial" w:cs="Arial"/>
          <w:sz w:val="22"/>
          <w:szCs w:val="22"/>
        </w:rPr>
        <w:t>Table 2. List of official</w:t>
      </w:r>
      <w:r w:rsidR="00413A93" w:rsidRPr="00E619C8">
        <w:rPr>
          <w:rFonts w:ascii="Arial" w:eastAsia="Arial" w:hAnsi="Arial" w:cs="Arial"/>
          <w:sz w:val="22"/>
          <w:szCs w:val="22"/>
        </w:rPr>
        <w:t>s</w:t>
      </w:r>
      <w:r w:rsidRPr="00E619C8">
        <w:rPr>
          <w:rFonts w:ascii="Arial" w:eastAsia="Arial" w:hAnsi="Arial" w:cs="Arial"/>
          <w:sz w:val="22"/>
          <w:szCs w:val="22"/>
        </w:rPr>
        <w:t xml:space="preserve"> assigned officers at each entity</w:t>
      </w:r>
    </w:p>
    <w:p w14:paraId="12573A5F" w14:textId="77777777" w:rsidR="00627C36" w:rsidRPr="00E619C8" w:rsidRDefault="00627C36" w:rsidP="00350B2A">
      <w:pPr>
        <w:pBdr>
          <w:top w:val="nil"/>
          <w:left w:val="nil"/>
          <w:bottom w:val="nil"/>
          <w:right w:val="nil"/>
          <w:between w:val="nil"/>
        </w:pBdr>
        <w:spacing w:line="300" w:lineRule="auto"/>
        <w:jc w:val="center"/>
        <w:rPr>
          <w:rFonts w:ascii="Arial" w:eastAsia="Arial" w:hAnsi="Arial" w:cs="Arial"/>
          <w:sz w:val="22"/>
          <w:szCs w:val="22"/>
        </w:rPr>
      </w:pPr>
    </w:p>
    <w:p w14:paraId="5B0FA2E0" w14:textId="77777777" w:rsidR="002033A5" w:rsidRPr="00E619C8" w:rsidRDefault="00E113EC" w:rsidP="00350B2A">
      <w:pPr>
        <w:pBdr>
          <w:top w:val="nil"/>
          <w:left w:val="nil"/>
          <w:bottom w:val="nil"/>
          <w:right w:val="nil"/>
          <w:between w:val="nil"/>
        </w:pBdr>
        <w:spacing w:after="160" w:line="300" w:lineRule="auto"/>
        <w:jc w:val="both"/>
        <w:rPr>
          <w:rFonts w:ascii="Arial" w:eastAsia="Arial" w:hAnsi="Arial" w:cs="Arial"/>
          <w:b/>
          <w:bCs/>
          <w:sz w:val="22"/>
          <w:szCs w:val="22"/>
        </w:rPr>
      </w:pPr>
      <w:r w:rsidRPr="00E619C8">
        <w:rPr>
          <w:rFonts w:ascii="Arial" w:eastAsia="Arial" w:hAnsi="Arial" w:cs="Arial"/>
          <w:b/>
          <w:bCs/>
          <w:sz w:val="22"/>
          <w:szCs w:val="22"/>
        </w:rPr>
        <w:t xml:space="preserve">Data collection period </w:t>
      </w:r>
    </w:p>
    <w:p w14:paraId="01E84166" w14:textId="034A6D3E" w:rsidR="002033A5" w:rsidRPr="00E619C8" w:rsidRDefault="00E113EC">
      <w:pPr>
        <w:spacing w:before="120" w:line="301" w:lineRule="auto"/>
        <w:jc w:val="both"/>
        <w:rPr>
          <w:rFonts w:ascii="Arial" w:eastAsia="Arial" w:hAnsi="Arial" w:cs="Arial"/>
          <w:sz w:val="22"/>
          <w:szCs w:val="22"/>
        </w:rPr>
      </w:pPr>
      <w:r w:rsidRPr="00E619C8">
        <w:rPr>
          <w:rFonts w:ascii="Arial" w:eastAsia="Arial" w:hAnsi="Arial" w:cs="Arial"/>
          <w:sz w:val="22"/>
          <w:szCs w:val="22"/>
        </w:rPr>
        <w:t xml:space="preserve">The survey data collection period for relevant agencies </w:t>
      </w:r>
      <w:r w:rsidR="00925059" w:rsidRPr="00E619C8">
        <w:rPr>
          <w:rFonts w:ascii="Arial" w:eastAsia="Arial" w:hAnsi="Arial" w:cs="Arial"/>
          <w:sz w:val="22"/>
          <w:szCs w:val="22"/>
        </w:rPr>
        <w:t>was</w:t>
      </w:r>
      <w:r w:rsidRPr="00E619C8">
        <w:rPr>
          <w:rFonts w:ascii="Arial" w:eastAsia="Arial" w:hAnsi="Arial" w:cs="Arial"/>
          <w:sz w:val="22"/>
          <w:szCs w:val="22"/>
        </w:rPr>
        <w:t>:</w:t>
      </w:r>
    </w:p>
    <w:p w14:paraId="4621873F" w14:textId="77777777" w:rsidR="002033A5" w:rsidRPr="00E619C8" w:rsidRDefault="00E113EC">
      <w:pPr>
        <w:numPr>
          <w:ilvl w:val="0"/>
          <w:numId w:val="30"/>
        </w:numPr>
        <w:spacing w:before="120" w:line="301" w:lineRule="auto"/>
        <w:jc w:val="both"/>
        <w:rPr>
          <w:rFonts w:ascii="Arial" w:eastAsia="Arial" w:hAnsi="Arial" w:cs="Arial"/>
          <w:sz w:val="22"/>
          <w:szCs w:val="22"/>
        </w:rPr>
      </w:pPr>
      <w:r w:rsidRPr="00E619C8">
        <w:rPr>
          <w:rFonts w:ascii="Arial" w:eastAsia="Arial" w:hAnsi="Arial" w:cs="Arial"/>
          <w:sz w:val="22"/>
          <w:szCs w:val="22"/>
        </w:rPr>
        <w:t xml:space="preserve">Survey form distribution                   </w:t>
      </w:r>
      <w:r w:rsidRPr="00E619C8">
        <w:rPr>
          <w:rFonts w:ascii="Arial" w:eastAsia="Arial" w:hAnsi="Arial" w:cs="Arial"/>
          <w:sz w:val="22"/>
          <w:szCs w:val="22"/>
        </w:rPr>
        <w:tab/>
        <w:t>: November 12, 2025</w:t>
      </w:r>
    </w:p>
    <w:p w14:paraId="0F4E67A4" w14:textId="53B2315F" w:rsidR="002033A5" w:rsidRPr="00E619C8" w:rsidRDefault="00E113EC">
      <w:pPr>
        <w:numPr>
          <w:ilvl w:val="0"/>
          <w:numId w:val="30"/>
        </w:numPr>
        <w:spacing w:line="301" w:lineRule="auto"/>
        <w:jc w:val="both"/>
        <w:rPr>
          <w:rFonts w:ascii="Arial" w:eastAsia="Arial" w:hAnsi="Arial" w:cs="Arial"/>
          <w:sz w:val="22"/>
          <w:szCs w:val="22"/>
        </w:rPr>
      </w:pPr>
      <w:r w:rsidRPr="00E619C8">
        <w:rPr>
          <w:rFonts w:ascii="Arial" w:eastAsia="Arial" w:hAnsi="Arial" w:cs="Arial"/>
          <w:sz w:val="22"/>
          <w:szCs w:val="22"/>
        </w:rPr>
        <w:t xml:space="preserve">Survey form submission </w:t>
      </w:r>
      <w:r w:rsidR="006D0322" w:rsidRPr="00E619C8">
        <w:rPr>
          <w:rFonts w:ascii="Arial" w:eastAsia="Arial" w:hAnsi="Arial" w:cs="Arial"/>
          <w:sz w:val="22"/>
          <w:szCs w:val="22"/>
        </w:rPr>
        <w:t>deadline</w:t>
      </w:r>
      <w:r w:rsidRPr="00E619C8">
        <w:rPr>
          <w:rFonts w:ascii="Arial" w:eastAsia="Arial" w:hAnsi="Arial" w:cs="Arial"/>
          <w:sz w:val="22"/>
          <w:szCs w:val="22"/>
        </w:rPr>
        <w:t>: December 31, 2025</w:t>
      </w:r>
    </w:p>
    <w:p w14:paraId="4DEAAA56" w14:textId="77777777" w:rsidR="002033A5" w:rsidRPr="00E619C8" w:rsidRDefault="00E113EC">
      <w:pPr>
        <w:numPr>
          <w:ilvl w:val="0"/>
          <w:numId w:val="30"/>
        </w:numPr>
        <w:spacing w:line="301" w:lineRule="auto"/>
        <w:jc w:val="both"/>
        <w:rPr>
          <w:rFonts w:ascii="Arial" w:eastAsia="Arial" w:hAnsi="Arial" w:cs="Arial"/>
          <w:sz w:val="22"/>
          <w:szCs w:val="22"/>
        </w:rPr>
      </w:pPr>
      <w:r w:rsidRPr="00E619C8">
        <w:rPr>
          <w:rFonts w:ascii="Arial" w:eastAsia="Arial" w:hAnsi="Arial" w:cs="Arial"/>
          <w:sz w:val="22"/>
          <w:szCs w:val="22"/>
        </w:rPr>
        <w:t xml:space="preserve">Survey results evaluation                 </w:t>
      </w:r>
      <w:r w:rsidRPr="00E619C8">
        <w:rPr>
          <w:rFonts w:ascii="Arial" w:eastAsia="Arial" w:hAnsi="Arial" w:cs="Arial"/>
          <w:sz w:val="22"/>
          <w:szCs w:val="22"/>
        </w:rPr>
        <w:tab/>
        <w:t>: January 1-14, 2025</w:t>
      </w:r>
    </w:p>
    <w:p w14:paraId="3C201D31" w14:textId="77777777" w:rsidR="00925059" w:rsidRPr="00E619C8" w:rsidRDefault="00925059" w:rsidP="00925059">
      <w:pPr>
        <w:spacing w:line="301" w:lineRule="auto"/>
        <w:jc w:val="both"/>
        <w:rPr>
          <w:rFonts w:ascii="Arial" w:eastAsia="Arial" w:hAnsi="Arial" w:cs="Arial"/>
          <w:sz w:val="22"/>
          <w:szCs w:val="22"/>
        </w:rPr>
      </w:pPr>
    </w:p>
    <w:p w14:paraId="6826EC32" w14:textId="362DD7C1" w:rsidR="00925059" w:rsidRPr="00E619C8" w:rsidRDefault="00925059" w:rsidP="006D0322">
      <w:pPr>
        <w:spacing w:line="301" w:lineRule="auto"/>
        <w:jc w:val="both"/>
        <w:rPr>
          <w:rFonts w:ascii="Arial" w:eastAsia="Arial" w:hAnsi="Arial" w:cs="Arial"/>
          <w:sz w:val="22"/>
          <w:szCs w:val="22"/>
        </w:rPr>
      </w:pPr>
      <w:r w:rsidRPr="00E619C8">
        <w:rPr>
          <w:rFonts w:ascii="Arial" w:eastAsia="Arial" w:hAnsi="Arial" w:cs="Arial"/>
          <w:sz w:val="22"/>
          <w:szCs w:val="22"/>
        </w:rPr>
        <w:t xml:space="preserve">The surveys for </w:t>
      </w:r>
      <w:r w:rsidR="00D928E6" w:rsidRPr="00E619C8">
        <w:rPr>
          <w:rFonts w:ascii="Arial" w:eastAsia="Arial" w:hAnsi="Arial" w:cs="Arial"/>
          <w:sz w:val="22"/>
          <w:szCs w:val="22"/>
        </w:rPr>
        <w:t>dimensions</w:t>
      </w:r>
      <w:r w:rsidRPr="00E619C8">
        <w:rPr>
          <w:rFonts w:ascii="Arial" w:eastAsia="Arial" w:hAnsi="Arial" w:cs="Arial"/>
          <w:sz w:val="22"/>
          <w:szCs w:val="22"/>
        </w:rPr>
        <w:t xml:space="preserve"> 2 and 3 capture</w:t>
      </w:r>
      <w:r w:rsidR="00D928E6" w:rsidRPr="00E619C8">
        <w:rPr>
          <w:rFonts w:ascii="Arial" w:eastAsia="Arial" w:hAnsi="Arial" w:cs="Arial"/>
          <w:sz w:val="22"/>
          <w:szCs w:val="22"/>
        </w:rPr>
        <w:t>d</w:t>
      </w:r>
      <w:r w:rsidRPr="00E619C8">
        <w:rPr>
          <w:rFonts w:ascii="Arial" w:eastAsia="Arial" w:hAnsi="Arial" w:cs="Arial"/>
          <w:sz w:val="22"/>
          <w:szCs w:val="22"/>
        </w:rPr>
        <w:t xml:space="preserve"> </w:t>
      </w:r>
      <w:r w:rsidR="00A05661">
        <w:rPr>
          <w:rFonts w:ascii="Arial" w:eastAsia="Arial" w:hAnsi="Arial" w:cs="Arial"/>
          <w:sz w:val="22"/>
          <w:szCs w:val="22"/>
        </w:rPr>
        <w:t xml:space="preserve">each entity's current situation </w:t>
      </w:r>
      <w:r w:rsidRPr="00E619C8">
        <w:rPr>
          <w:rFonts w:ascii="Arial" w:eastAsia="Arial" w:hAnsi="Arial" w:cs="Arial"/>
          <w:sz w:val="22"/>
          <w:szCs w:val="22"/>
        </w:rPr>
        <w:t xml:space="preserve">on the associated indicators. And the projects </w:t>
      </w:r>
      <w:r w:rsidR="00A05661">
        <w:rPr>
          <w:rFonts w:ascii="Arial" w:eastAsia="Arial" w:hAnsi="Arial" w:cs="Arial"/>
          <w:sz w:val="22"/>
          <w:szCs w:val="22"/>
        </w:rPr>
        <w:t>evaluated were contracted and completed during</w:t>
      </w:r>
      <w:r w:rsidRPr="00E619C8">
        <w:rPr>
          <w:rFonts w:ascii="Arial" w:eastAsia="Arial" w:hAnsi="Arial" w:cs="Arial"/>
          <w:sz w:val="22"/>
          <w:szCs w:val="22"/>
        </w:rPr>
        <w:t xml:space="preserve"> </w:t>
      </w:r>
      <w:r w:rsidR="00D928E6" w:rsidRPr="00E619C8">
        <w:rPr>
          <w:rFonts w:ascii="Arial" w:eastAsia="Arial" w:hAnsi="Arial" w:cs="Arial"/>
          <w:sz w:val="22"/>
          <w:szCs w:val="22"/>
        </w:rPr>
        <w:t xml:space="preserve">the </w:t>
      </w:r>
      <w:r w:rsidRPr="00E619C8">
        <w:rPr>
          <w:rFonts w:ascii="Arial" w:eastAsia="Arial" w:hAnsi="Arial" w:cs="Arial"/>
          <w:sz w:val="22"/>
          <w:szCs w:val="22"/>
        </w:rPr>
        <w:t>20</w:t>
      </w:r>
      <w:r w:rsidR="00D928E6" w:rsidRPr="00E619C8">
        <w:rPr>
          <w:rFonts w:ascii="Arial" w:eastAsia="Arial" w:hAnsi="Arial" w:cs="Arial"/>
          <w:sz w:val="22"/>
          <w:szCs w:val="22"/>
        </w:rPr>
        <w:t>22-2025 period.</w:t>
      </w:r>
    </w:p>
    <w:p w14:paraId="3E958214" w14:textId="77777777" w:rsidR="002033A5" w:rsidRPr="00E619C8" w:rsidRDefault="00E113EC">
      <w:pPr>
        <w:pStyle w:val="Heading2"/>
        <w:pBdr>
          <w:top w:val="nil"/>
          <w:left w:val="nil"/>
          <w:bottom w:val="nil"/>
          <w:right w:val="nil"/>
          <w:between w:val="nil"/>
        </w:pBdr>
        <w:spacing w:before="320" w:after="160" w:line="276" w:lineRule="auto"/>
        <w:jc w:val="both"/>
        <w:rPr>
          <w:rFonts w:ascii="Arial" w:eastAsia="Arial" w:hAnsi="Arial" w:cs="Arial"/>
          <w:sz w:val="22"/>
          <w:szCs w:val="22"/>
        </w:rPr>
      </w:pPr>
      <w:bookmarkStart w:id="12" w:name="_Toc227235254"/>
      <w:r w:rsidRPr="00E619C8">
        <w:rPr>
          <w:rFonts w:ascii="Arial" w:eastAsia="Arial" w:hAnsi="Arial" w:cs="Arial"/>
          <w:b/>
          <w:bCs/>
          <w:color w:val="C00000"/>
          <w:sz w:val="28"/>
          <w:szCs w:val="28"/>
        </w:rPr>
        <w:t>2.3 Procuring entities sample</w:t>
      </w:r>
      <w:bookmarkEnd w:id="12"/>
    </w:p>
    <w:p w14:paraId="08AC1522" w14:textId="5AC1E00F"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Procurement entities participating in the ITI </w:t>
      </w:r>
      <w:r w:rsidR="00D928E6" w:rsidRPr="00E619C8">
        <w:rPr>
          <w:rFonts w:ascii="Arial" w:eastAsia="Arial" w:hAnsi="Arial" w:cs="Arial"/>
          <w:sz w:val="22"/>
          <w:szCs w:val="22"/>
        </w:rPr>
        <w:t xml:space="preserve">were </w:t>
      </w:r>
      <w:r w:rsidRPr="00E619C8">
        <w:rPr>
          <w:rFonts w:ascii="Arial" w:eastAsia="Arial" w:hAnsi="Arial" w:cs="Arial"/>
          <w:sz w:val="22"/>
          <w:szCs w:val="22"/>
        </w:rPr>
        <w:t xml:space="preserve">all agencies </w:t>
      </w:r>
      <w:r w:rsidR="00A05661">
        <w:rPr>
          <w:rFonts w:ascii="Arial" w:eastAsia="Arial" w:hAnsi="Arial" w:cs="Arial"/>
          <w:sz w:val="22"/>
          <w:szCs w:val="22"/>
        </w:rPr>
        <w:t>in West Nusa Tenggara Province that had</w:t>
      </w:r>
      <w:r w:rsidRPr="00E619C8">
        <w:rPr>
          <w:rFonts w:ascii="Arial" w:eastAsia="Arial" w:hAnsi="Arial" w:cs="Arial"/>
          <w:sz w:val="22"/>
          <w:szCs w:val="22"/>
        </w:rPr>
        <w:t xml:space="preserve"> infrastructure projects </w:t>
      </w:r>
      <w:r w:rsidR="00D928E6" w:rsidRPr="00E619C8">
        <w:rPr>
          <w:rFonts w:ascii="Arial" w:eastAsia="Arial" w:hAnsi="Arial" w:cs="Arial"/>
          <w:sz w:val="22"/>
          <w:szCs w:val="22"/>
        </w:rPr>
        <w:t>contracted during the period</w:t>
      </w:r>
      <w:r w:rsidRPr="00E619C8">
        <w:rPr>
          <w:rFonts w:ascii="Arial" w:eastAsia="Arial" w:hAnsi="Arial" w:cs="Arial"/>
          <w:sz w:val="22"/>
          <w:szCs w:val="22"/>
        </w:rPr>
        <w:t xml:space="preserve"> 2022-2025. For more details on the agencies participating in the ITI, see the following table.</w:t>
      </w:r>
    </w:p>
    <w:p w14:paraId="4CB360FD" w14:textId="2B6B0711" w:rsidR="002033A5" w:rsidRPr="00E619C8" w:rsidRDefault="002033A5" w:rsidP="006D0322">
      <w:pPr>
        <w:spacing w:before="120" w:line="301" w:lineRule="auto"/>
        <w:jc w:val="both"/>
        <w:rPr>
          <w:rFonts w:ascii="Arial" w:eastAsia="Arial" w:hAnsi="Arial" w:cs="Arial"/>
          <w:sz w:val="22"/>
          <w:szCs w:val="22"/>
        </w:rPr>
      </w:pPr>
    </w:p>
    <w:tbl>
      <w:tblPr>
        <w:tblStyle w:val="a3"/>
        <w:tblW w:w="9064" w:type="dxa"/>
        <w:tblBorders>
          <w:top w:val="nil"/>
          <w:left w:val="nil"/>
          <w:bottom w:val="nil"/>
          <w:right w:val="nil"/>
          <w:insideH w:val="nil"/>
          <w:insideV w:val="nil"/>
        </w:tblBorders>
        <w:tblLayout w:type="fixed"/>
        <w:tblLook w:val="0600" w:firstRow="0" w:lastRow="0" w:firstColumn="0" w:lastColumn="0" w:noHBand="1" w:noVBand="1"/>
      </w:tblPr>
      <w:tblGrid>
        <w:gridCol w:w="780"/>
        <w:gridCol w:w="8284"/>
      </w:tblGrid>
      <w:tr w:rsidR="002033A5" w:rsidRPr="00E619C8" w14:paraId="1C567BB5" w14:textId="77777777" w:rsidTr="00350B2A">
        <w:trPr>
          <w:trHeight w:val="495"/>
          <w:tblHeader/>
        </w:trPr>
        <w:tc>
          <w:tcPr>
            <w:tcW w:w="780" w:type="dxa"/>
            <w:tcBorders>
              <w:top w:val="single" w:sz="6" w:space="0" w:color="000000"/>
              <w:left w:val="single" w:sz="6" w:space="0" w:color="000000"/>
              <w:bottom w:val="single" w:sz="6" w:space="0" w:color="000000"/>
              <w:right w:val="single" w:sz="6" w:space="0" w:color="000000"/>
            </w:tcBorders>
            <w:shd w:val="clear" w:color="auto" w:fill="C00000"/>
            <w:tcMar>
              <w:top w:w="100" w:type="dxa"/>
              <w:left w:w="100" w:type="dxa"/>
              <w:bottom w:w="100" w:type="dxa"/>
              <w:right w:w="100" w:type="dxa"/>
            </w:tcMar>
          </w:tcPr>
          <w:p w14:paraId="189CA720" w14:textId="77777777" w:rsidR="002033A5" w:rsidRPr="00E619C8" w:rsidRDefault="00E113EC">
            <w:pPr>
              <w:spacing w:line="300" w:lineRule="auto"/>
              <w:ind w:left="560" w:hanging="560"/>
              <w:jc w:val="both"/>
              <w:rPr>
                <w:rFonts w:ascii="Arial" w:eastAsia="Arial" w:hAnsi="Arial" w:cs="Arial"/>
                <w:b/>
                <w:bCs/>
                <w:sz w:val="22"/>
                <w:szCs w:val="22"/>
              </w:rPr>
            </w:pPr>
            <w:r w:rsidRPr="00E619C8">
              <w:rPr>
                <w:rFonts w:ascii="Arial" w:eastAsia="Arial" w:hAnsi="Arial" w:cs="Arial"/>
                <w:b/>
                <w:bCs/>
                <w:sz w:val="22"/>
                <w:szCs w:val="22"/>
              </w:rPr>
              <w:t>No.</w:t>
            </w:r>
          </w:p>
        </w:tc>
        <w:tc>
          <w:tcPr>
            <w:tcW w:w="8284" w:type="dxa"/>
            <w:tcBorders>
              <w:top w:val="single" w:sz="6" w:space="0" w:color="000000"/>
              <w:left w:val="nil"/>
              <w:bottom w:val="single" w:sz="6" w:space="0" w:color="000000"/>
              <w:right w:val="single" w:sz="6" w:space="0" w:color="000000"/>
            </w:tcBorders>
            <w:shd w:val="clear" w:color="auto" w:fill="C00000"/>
            <w:tcMar>
              <w:top w:w="100" w:type="dxa"/>
              <w:left w:w="100" w:type="dxa"/>
              <w:bottom w:w="100" w:type="dxa"/>
              <w:right w:w="100" w:type="dxa"/>
            </w:tcMar>
          </w:tcPr>
          <w:p w14:paraId="4CC4289A" w14:textId="77777777" w:rsidR="002033A5" w:rsidRPr="00E619C8" w:rsidRDefault="00E113EC">
            <w:pPr>
              <w:spacing w:line="300" w:lineRule="auto"/>
              <w:jc w:val="center"/>
              <w:rPr>
                <w:rFonts w:ascii="Arial" w:eastAsia="Arial" w:hAnsi="Arial" w:cs="Arial"/>
                <w:b/>
                <w:bCs/>
                <w:sz w:val="22"/>
                <w:szCs w:val="22"/>
              </w:rPr>
            </w:pPr>
            <w:r w:rsidRPr="00E619C8">
              <w:rPr>
                <w:rFonts w:ascii="Arial" w:eastAsia="Arial" w:hAnsi="Arial" w:cs="Arial"/>
                <w:b/>
                <w:bCs/>
                <w:sz w:val="22"/>
                <w:szCs w:val="22"/>
              </w:rPr>
              <w:t>Procurement Entity Name</w:t>
            </w:r>
          </w:p>
        </w:tc>
      </w:tr>
      <w:tr w:rsidR="002033A5" w:rsidRPr="00E619C8" w14:paraId="751A508B" w14:textId="77777777" w:rsidTr="00350B2A">
        <w:trPr>
          <w:trHeight w:val="115"/>
        </w:trPr>
        <w:tc>
          <w:tcPr>
            <w:tcW w:w="7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CD4877A" w14:textId="77777777" w:rsidR="002033A5" w:rsidRPr="00E619C8" w:rsidRDefault="00E113EC" w:rsidP="006D0322">
            <w:pPr>
              <w:ind w:left="560" w:hanging="560"/>
              <w:jc w:val="center"/>
              <w:rPr>
                <w:rFonts w:ascii="Arial" w:eastAsia="Arial" w:hAnsi="Arial" w:cs="Arial"/>
                <w:sz w:val="22"/>
                <w:szCs w:val="22"/>
              </w:rPr>
            </w:pPr>
            <w:r w:rsidRPr="00E619C8">
              <w:rPr>
                <w:rFonts w:ascii="Arial" w:eastAsia="Arial" w:hAnsi="Arial" w:cs="Arial"/>
                <w:sz w:val="22"/>
                <w:szCs w:val="22"/>
              </w:rPr>
              <w:t>1.</w:t>
            </w:r>
          </w:p>
        </w:tc>
        <w:tc>
          <w:tcPr>
            <w:tcW w:w="8284" w:type="dxa"/>
            <w:tcBorders>
              <w:top w:val="nil"/>
              <w:left w:val="nil"/>
              <w:bottom w:val="single" w:sz="6" w:space="0" w:color="000000"/>
              <w:right w:val="single" w:sz="6" w:space="0" w:color="000000"/>
            </w:tcBorders>
            <w:tcMar>
              <w:top w:w="100" w:type="dxa"/>
              <w:left w:w="100" w:type="dxa"/>
              <w:bottom w:w="100" w:type="dxa"/>
              <w:right w:w="100" w:type="dxa"/>
            </w:tcMar>
          </w:tcPr>
          <w:p w14:paraId="405E1A0E" w14:textId="77777777" w:rsidR="002033A5" w:rsidRPr="00E619C8" w:rsidRDefault="00E113EC" w:rsidP="006D0322">
            <w:pPr>
              <w:jc w:val="both"/>
              <w:rPr>
                <w:rFonts w:ascii="Arial" w:eastAsia="Arial" w:hAnsi="Arial" w:cs="Arial"/>
                <w:sz w:val="22"/>
                <w:szCs w:val="22"/>
              </w:rPr>
            </w:pPr>
            <w:r w:rsidRPr="00E619C8">
              <w:rPr>
                <w:rFonts w:ascii="Arial" w:eastAsia="Arial" w:hAnsi="Arial" w:cs="Arial"/>
                <w:sz w:val="22"/>
                <w:szCs w:val="22"/>
              </w:rPr>
              <w:t>Dinas Kelautan dan Perikanan Provinsi Nusa Tenggara Barat</w:t>
            </w:r>
          </w:p>
        </w:tc>
      </w:tr>
      <w:tr w:rsidR="002033A5" w:rsidRPr="00E619C8" w14:paraId="08CC2515" w14:textId="77777777" w:rsidTr="00350B2A">
        <w:trPr>
          <w:trHeight w:val="20"/>
        </w:trPr>
        <w:tc>
          <w:tcPr>
            <w:tcW w:w="7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D90CCF3" w14:textId="77777777" w:rsidR="002033A5" w:rsidRPr="00E619C8" w:rsidRDefault="00E113EC" w:rsidP="006D0322">
            <w:pPr>
              <w:ind w:left="560" w:hanging="560"/>
              <w:jc w:val="center"/>
              <w:rPr>
                <w:rFonts w:ascii="Arial" w:eastAsia="Arial" w:hAnsi="Arial" w:cs="Arial"/>
                <w:sz w:val="22"/>
                <w:szCs w:val="22"/>
              </w:rPr>
            </w:pPr>
            <w:r w:rsidRPr="00E619C8">
              <w:rPr>
                <w:rFonts w:ascii="Arial" w:eastAsia="Arial" w:hAnsi="Arial" w:cs="Arial"/>
                <w:sz w:val="22"/>
                <w:szCs w:val="22"/>
              </w:rPr>
              <w:t>2.</w:t>
            </w:r>
          </w:p>
        </w:tc>
        <w:tc>
          <w:tcPr>
            <w:tcW w:w="8284" w:type="dxa"/>
            <w:tcBorders>
              <w:top w:val="nil"/>
              <w:left w:val="nil"/>
              <w:bottom w:val="single" w:sz="6" w:space="0" w:color="000000"/>
              <w:right w:val="single" w:sz="6" w:space="0" w:color="000000"/>
            </w:tcBorders>
            <w:tcMar>
              <w:top w:w="100" w:type="dxa"/>
              <w:left w:w="100" w:type="dxa"/>
              <w:bottom w:w="100" w:type="dxa"/>
              <w:right w:w="100" w:type="dxa"/>
            </w:tcMar>
          </w:tcPr>
          <w:p w14:paraId="071341B3" w14:textId="77777777" w:rsidR="002033A5" w:rsidRPr="00E619C8" w:rsidRDefault="00E113EC" w:rsidP="006D0322">
            <w:pPr>
              <w:jc w:val="both"/>
              <w:rPr>
                <w:rFonts w:ascii="Arial" w:eastAsia="Arial" w:hAnsi="Arial" w:cs="Arial"/>
                <w:sz w:val="22"/>
                <w:szCs w:val="22"/>
              </w:rPr>
            </w:pPr>
            <w:r w:rsidRPr="00E619C8">
              <w:rPr>
                <w:rFonts w:ascii="Arial" w:eastAsia="Arial" w:hAnsi="Arial" w:cs="Arial"/>
                <w:sz w:val="22"/>
                <w:szCs w:val="22"/>
              </w:rPr>
              <w:t>Dinas Koperasi Usaha Kecil dan Menengah Provinsi Nusa Tenggara Barat</w:t>
            </w:r>
          </w:p>
        </w:tc>
      </w:tr>
      <w:tr w:rsidR="002033A5" w:rsidRPr="00E619C8" w14:paraId="127C4962" w14:textId="77777777" w:rsidTr="00350B2A">
        <w:trPr>
          <w:trHeight w:val="71"/>
        </w:trPr>
        <w:tc>
          <w:tcPr>
            <w:tcW w:w="7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AB73AD2" w14:textId="77777777" w:rsidR="002033A5" w:rsidRPr="00E619C8" w:rsidRDefault="00E113EC" w:rsidP="006D0322">
            <w:pPr>
              <w:ind w:left="560" w:hanging="560"/>
              <w:jc w:val="center"/>
              <w:rPr>
                <w:rFonts w:ascii="Arial" w:eastAsia="Arial" w:hAnsi="Arial" w:cs="Arial"/>
                <w:sz w:val="22"/>
                <w:szCs w:val="22"/>
              </w:rPr>
            </w:pPr>
            <w:r w:rsidRPr="00E619C8">
              <w:rPr>
                <w:rFonts w:ascii="Arial" w:eastAsia="Arial" w:hAnsi="Arial" w:cs="Arial"/>
                <w:sz w:val="22"/>
                <w:szCs w:val="22"/>
              </w:rPr>
              <w:t>3.</w:t>
            </w:r>
          </w:p>
        </w:tc>
        <w:tc>
          <w:tcPr>
            <w:tcW w:w="8284" w:type="dxa"/>
            <w:tcBorders>
              <w:top w:val="nil"/>
              <w:left w:val="nil"/>
              <w:bottom w:val="single" w:sz="6" w:space="0" w:color="000000"/>
              <w:right w:val="single" w:sz="6" w:space="0" w:color="000000"/>
            </w:tcBorders>
            <w:tcMar>
              <w:top w:w="100" w:type="dxa"/>
              <w:left w:w="100" w:type="dxa"/>
              <w:bottom w:w="100" w:type="dxa"/>
              <w:right w:w="100" w:type="dxa"/>
            </w:tcMar>
          </w:tcPr>
          <w:p w14:paraId="025859DE" w14:textId="77777777" w:rsidR="002033A5" w:rsidRPr="00E619C8" w:rsidRDefault="00E113EC" w:rsidP="006D0322">
            <w:pPr>
              <w:jc w:val="both"/>
              <w:rPr>
                <w:rFonts w:ascii="Arial" w:eastAsia="Arial" w:hAnsi="Arial" w:cs="Arial"/>
                <w:sz w:val="22"/>
                <w:szCs w:val="22"/>
              </w:rPr>
            </w:pPr>
            <w:r w:rsidRPr="00E619C8">
              <w:rPr>
                <w:rFonts w:ascii="Arial" w:eastAsia="Arial" w:hAnsi="Arial" w:cs="Arial"/>
                <w:sz w:val="22"/>
                <w:szCs w:val="22"/>
              </w:rPr>
              <w:t>Dinas Pekerjaan Umum dan Penataan Ruang - Cipta Karya</w:t>
            </w:r>
          </w:p>
        </w:tc>
      </w:tr>
      <w:tr w:rsidR="002033A5" w:rsidRPr="00E619C8" w14:paraId="3EC68B62" w14:textId="77777777" w:rsidTr="00350B2A">
        <w:trPr>
          <w:trHeight w:val="34"/>
        </w:trPr>
        <w:tc>
          <w:tcPr>
            <w:tcW w:w="7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517DCC4" w14:textId="77777777" w:rsidR="002033A5" w:rsidRPr="00E619C8" w:rsidRDefault="00E113EC" w:rsidP="006D0322">
            <w:pPr>
              <w:ind w:left="560" w:hanging="560"/>
              <w:jc w:val="center"/>
              <w:rPr>
                <w:rFonts w:ascii="Arial" w:eastAsia="Arial" w:hAnsi="Arial" w:cs="Arial"/>
                <w:sz w:val="22"/>
                <w:szCs w:val="22"/>
              </w:rPr>
            </w:pPr>
            <w:r w:rsidRPr="00E619C8">
              <w:rPr>
                <w:rFonts w:ascii="Arial" w:eastAsia="Arial" w:hAnsi="Arial" w:cs="Arial"/>
                <w:sz w:val="22"/>
                <w:szCs w:val="22"/>
              </w:rPr>
              <w:t>4.</w:t>
            </w:r>
          </w:p>
        </w:tc>
        <w:tc>
          <w:tcPr>
            <w:tcW w:w="8284" w:type="dxa"/>
            <w:tcBorders>
              <w:top w:val="nil"/>
              <w:left w:val="nil"/>
              <w:bottom w:val="single" w:sz="6" w:space="0" w:color="000000"/>
              <w:right w:val="single" w:sz="6" w:space="0" w:color="000000"/>
            </w:tcBorders>
            <w:tcMar>
              <w:top w:w="100" w:type="dxa"/>
              <w:left w:w="100" w:type="dxa"/>
              <w:bottom w:w="100" w:type="dxa"/>
              <w:right w:w="100" w:type="dxa"/>
            </w:tcMar>
          </w:tcPr>
          <w:p w14:paraId="3F7D2378" w14:textId="77777777" w:rsidR="002033A5" w:rsidRPr="00E619C8" w:rsidRDefault="00E113EC" w:rsidP="006D0322">
            <w:pPr>
              <w:jc w:val="both"/>
              <w:rPr>
                <w:rFonts w:ascii="Arial" w:eastAsia="Arial" w:hAnsi="Arial" w:cs="Arial"/>
                <w:sz w:val="22"/>
                <w:szCs w:val="22"/>
              </w:rPr>
            </w:pPr>
            <w:r w:rsidRPr="00E619C8">
              <w:rPr>
                <w:rFonts w:ascii="Arial" w:eastAsia="Arial" w:hAnsi="Arial" w:cs="Arial"/>
                <w:sz w:val="22"/>
                <w:szCs w:val="22"/>
              </w:rPr>
              <w:t>Dinas Pemuda Dan Olahraga Provinsi Nusa Tenggara Barat</w:t>
            </w:r>
          </w:p>
        </w:tc>
      </w:tr>
      <w:tr w:rsidR="002033A5" w:rsidRPr="00E619C8" w14:paraId="73154EED" w14:textId="77777777" w:rsidTr="00350B2A">
        <w:trPr>
          <w:trHeight w:val="20"/>
        </w:trPr>
        <w:tc>
          <w:tcPr>
            <w:tcW w:w="7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61DE11CE" w14:textId="77777777" w:rsidR="002033A5" w:rsidRPr="00E619C8" w:rsidRDefault="00E113EC" w:rsidP="006D0322">
            <w:pPr>
              <w:ind w:left="560" w:hanging="560"/>
              <w:jc w:val="center"/>
              <w:rPr>
                <w:rFonts w:ascii="Arial" w:eastAsia="Arial" w:hAnsi="Arial" w:cs="Arial"/>
                <w:sz w:val="22"/>
                <w:szCs w:val="22"/>
              </w:rPr>
            </w:pPr>
            <w:r w:rsidRPr="00E619C8">
              <w:rPr>
                <w:rFonts w:ascii="Arial" w:eastAsia="Arial" w:hAnsi="Arial" w:cs="Arial"/>
                <w:sz w:val="22"/>
                <w:szCs w:val="22"/>
              </w:rPr>
              <w:t>5.</w:t>
            </w:r>
          </w:p>
        </w:tc>
        <w:tc>
          <w:tcPr>
            <w:tcW w:w="8284" w:type="dxa"/>
            <w:tcBorders>
              <w:top w:val="nil"/>
              <w:left w:val="nil"/>
              <w:bottom w:val="single" w:sz="6" w:space="0" w:color="000000"/>
              <w:right w:val="single" w:sz="6" w:space="0" w:color="000000"/>
            </w:tcBorders>
            <w:tcMar>
              <w:top w:w="100" w:type="dxa"/>
              <w:left w:w="100" w:type="dxa"/>
              <w:bottom w:w="100" w:type="dxa"/>
              <w:right w:w="100" w:type="dxa"/>
            </w:tcMar>
          </w:tcPr>
          <w:p w14:paraId="1F5DF88F" w14:textId="77777777" w:rsidR="002033A5" w:rsidRPr="00E619C8" w:rsidRDefault="00E113EC" w:rsidP="006D0322">
            <w:pPr>
              <w:jc w:val="both"/>
              <w:rPr>
                <w:rFonts w:ascii="Arial" w:eastAsia="Arial" w:hAnsi="Arial" w:cs="Arial"/>
                <w:sz w:val="22"/>
                <w:szCs w:val="22"/>
              </w:rPr>
            </w:pPr>
            <w:r w:rsidRPr="00E619C8">
              <w:rPr>
                <w:rFonts w:ascii="Arial" w:eastAsia="Arial" w:hAnsi="Arial" w:cs="Arial"/>
                <w:sz w:val="22"/>
                <w:szCs w:val="22"/>
              </w:rPr>
              <w:t>Dinas Pendidikan dan Kebudayaan Provinsi Nusa Tenggara Barat</w:t>
            </w:r>
          </w:p>
        </w:tc>
      </w:tr>
      <w:tr w:rsidR="002033A5" w:rsidRPr="00E619C8" w14:paraId="4DDC4CCB" w14:textId="77777777" w:rsidTr="00350B2A">
        <w:trPr>
          <w:trHeight w:val="20"/>
        </w:trPr>
        <w:tc>
          <w:tcPr>
            <w:tcW w:w="7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381D728" w14:textId="77777777" w:rsidR="002033A5" w:rsidRPr="00E619C8" w:rsidRDefault="00E113EC" w:rsidP="006D0322">
            <w:pPr>
              <w:ind w:left="560" w:hanging="560"/>
              <w:jc w:val="center"/>
              <w:rPr>
                <w:rFonts w:ascii="Arial" w:eastAsia="Arial" w:hAnsi="Arial" w:cs="Arial"/>
                <w:sz w:val="22"/>
                <w:szCs w:val="22"/>
              </w:rPr>
            </w:pPr>
            <w:r w:rsidRPr="00E619C8">
              <w:rPr>
                <w:rFonts w:ascii="Arial" w:eastAsia="Arial" w:hAnsi="Arial" w:cs="Arial"/>
                <w:sz w:val="22"/>
                <w:szCs w:val="22"/>
              </w:rPr>
              <w:t>6.</w:t>
            </w:r>
          </w:p>
        </w:tc>
        <w:tc>
          <w:tcPr>
            <w:tcW w:w="8284" w:type="dxa"/>
            <w:tcBorders>
              <w:top w:val="nil"/>
              <w:left w:val="nil"/>
              <w:bottom w:val="single" w:sz="6" w:space="0" w:color="000000"/>
              <w:right w:val="single" w:sz="6" w:space="0" w:color="000000"/>
            </w:tcBorders>
            <w:tcMar>
              <w:top w:w="100" w:type="dxa"/>
              <w:left w:w="100" w:type="dxa"/>
              <w:bottom w:w="100" w:type="dxa"/>
              <w:right w:w="100" w:type="dxa"/>
            </w:tcMar>
          </w:tcPr>
          <w:p w14:paraId="7727D326" w14:textId="77777777" w:rsidR="002033A5" w:rsidRPr="00E619C8" w:rsidRDefault="00E113EC" w:rsidP="006D0322">
            <w:pPr>
              <w:jc w:val="both"/>
              <w:rPr>
                <w:rFonts w:ascii="Arial" w:eastAsia="Arial" w:hAnsi="Arial" w:cs="Arial"/>
                <w:sz w:val="22"/>
                <w:szCs w:val="22"/>
              </w:rPr>
            </w:pPr>
            <w:r w:rsidRPr="00E619C8">
              <w:rPr>
                <w:rFonts w:ascii="Arial" w:eastAsia="Arial" w:hAnsi="Arial" w:cs="Arial"/>
                <w:sz w:val="22"/>
                <w:szCs w:val="22"/>
              </w:rPr>
              <w:t>Dinas Perpustakaan dan Kearsipan</w:t>
            </w:r>
          </w:p>
        </w:tc>
      </w:tr>
      <w:tr w:rsidR="002033A5" w:rsidRPr="00E619C8" w14:paraId="5C137796" w14:textId="77777777" w:rsidTr="00350B2A">
        <w:trPr>
          <w:trHeight w:val="97"/>
        </w:trPr>
        <w:tc>
          <w:tcPr>
            <w:tcW w:w="7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77AE87B" w14:textId="77777777" w:rsidR="002033A5" w:rsidRPr="00E619C8" w:rsidRDefault="00E113EC" w:rsidP="006D0322">
            <w:pPr>
              <w:ind w:left="560" w:hanging="560"/>
              <w:jc w:val="center"/>
              <w:rPr>
                <w:rFonts w:ascii="Arial" w:eastAsia="Arial" w:hAnsi="Arial" w:cs="Arial"/>
                <w:sz w:val="22"/>
                <w:szCs w:val="22"/>
              </w:rPr>
            </w:pPr>
            <w:r w:rsidRPr="00E619C8">
              <w:rPr>
                <w:rFonts w:ascii="Arial" w:eastAsia="Arial" w:hAnsi="Arial" w:cs="Arial"/>
                <w:sz w:val="22"/>
                <w:szCs w:val="22"/>
              </w:rPr>
              <w:t>7.</w:t>
            </w:r>
          </w:p>
        </w:tc>
        <w:tc>
          <w:tcPr>
            <w:tcW w:w="8284" w:type="dxa"/>
            <w:tcBorders>
              <w:top w:val="nil"/>
              <w:left w:val="nil"/>
              <w:bottom w:val="single" w:sz="6" w:space="0" w:color="000000"/>
              <w:right w:val="single" w:sz="6" w:space="0" w:color="000000"/>
            </w:tcBorders>
            <w:tcMar>
              <w:top w:w="100" w:type="dxa"/>
              <w:left w:w="100" w:type="dxa"/>
              <w:bottom w:w="100" w:type="dxa"/>
              <w:right w:w="100" w:type="dxa"/>
            </w:tcMar>
          </w:tcPr>
          <w:p w14:paraId="61357D44" w14:textId="77777777" w:rsidR="002033A5" w:rsidRPr="00E619C8" w:rsidRDefault="00E113EC" w:rsidP="006D0322">
            <w:pPr>
              <w:jc w:val="both"/>
              <w:rPr>
                <w:rFonts w:ascii="Arial" w:eastAsia="Arial" w:hAnsi="Arial" w:cs="Arial"/>
                <w:sz w:val="22"/>
                <w:szCs w:val="22"/>
              </w:rPr>
            </w:pPr>
            <w:r w:rsidRPr="00E619C8">
              <w:rPr>
                <w:rFonts w:ascii="Arial" w:eastAsia="Arial" w:hAnsi="Arial" w:cs="Arial"/>
                <w:sz w:val="22"/>
                <w:szCs w:val="22"/>
              </w:rPr>
              <w:t>Dinas Lingkungan Hidup dan Kehutanan Provinsi Nusa Tenggara Barat</w:t>
            </w:r>
          </w:p>
        </w:tc>
      </w:tr>
      <w:tr w:rsidR="002033A5" w:rsidRPr="00E619C8" w14:paraId="467D0057" w14:textId="77777777" w:rsidTr="00350B2A">
        <w:trPr>
          <w:trHeight w:val="20"/>
        </w:trPr>
        <w:tc>
          <w:tcPr>
            <w:tcW w:w="7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71DFA62E" w14:textId="77777777" w:rsidR="002033A5" w:rsidRPr="00E619C8" w:rsidRDefault="00E113EC" w:rsidP="006D0322">
            <w:pPr>
              <w:ind w:left="560" w:hanging="560"/>
              <w:jc w:val="center"/>
              <w:rPr>
                <w:rFonts w:ascii="Arial" w:eastAsia="Arial" w:hAnsi="Arial" w:cs="Arial"/>
                <w:sz w:val="22"/>
                <w:szCs w:val="22"/>
              </w:rPr>
            </w:pPr>
            <w:r w:rsidRPr="00E619C8">
              <w:rPr>
                <w:rFonts w:ascii="Arial" w:eastAsia="Arial" w:hAnsi="Arial" w:cs="Arial"/>
                <w:sz w:val="22"/>
                <w:szCs w:val="22"/>
              </w:rPr>
              <w:t>8.</w:t>
            </w:r>
          </w:p>
        </w:tc>
        <w:tc>
          <w:tcPr>
            <w:tcW w:w="8284" w:type="dxa"/>
            <w:tcBorders>
              <w:top w:val="nil"/>
              <w:left w:val="nil"/>
              <w:bottom w:val="single" w:sz="6" w:space="0" w:color="000000"/>
              <w:right w:val="single" w:sz="6" w:space="0" w:color="000000"/>
            </w:tcBorders>
            <w:tcMar>
              <w:top w:w="100" w:type="dxa"/>
              <w:left w:w="100" w:type="dxa"/>
              <w:bottom w:w="100" w:type="dxa"/>
              <w:right w:w="100" w:type="dxa"/>
            </w:tcMar>
          </w:tcPr>
          <w:p w14:paraId="2BF73A1C" w14:textId="77777777" w:rsidR="002033A5" w:rsidRPr="00E619C8" w:rsidRDefault="00E113EC" w:rsidP="006D0322">
            <w:pPr>
              <w:jc w:val="both"/>
              <w:rPr>
                <w:rFonts w:ascii="Arial" w:eastAsia="Arial" w:hAnsi="Arial" w:cs="Arial"/>
                <w:sz w:val="22"/>
                <w:szCs w:val="22"/>
              </w:rPr>
            </w:pPr>
            <w:r w:rsidRPr="00E619C8">
              <w:rPr>
                <w:rFonts w:ascii="Arial" w:eastAsia="Arial" w:hAnsi="Arial" w:cs="Arial"/>
                <w:sz w:val="22"/>
                <w:szCs w:val="22"/>
              </w:rPr>
              <w:t>Dinas Pariwisata Provinsi Nusa Tenggara Barat</w:t>
            </w:r>
          </w:p>
        </w:tc>
      </w:tr>
      <w:tr w:rsidR="002033A5" w:rsidRPr="00E619C8" w14:paraId="3C7E195D" w14:textId="77777777" w:rsidTr="00350B2A">
        <w:trPr>
          <w:trHeight w:val="20"/>
        </w:trPr>
        <w:tc>
          <w:tcPr>
            <w:tcW w:w="7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482DDFA" w14:textId="77777777" w:rsidR="002033A5" w:rsidRPr="00E619C8" w:rsidRDefault="00E113EC" w:rsidP="006D0322">
            <w:pPr>
              <w:ind w:left="560" w:hanging="560"/>
              <w:jc w:val="center"/>
              <w:rPr>
                <w:rFonts w:ascii="Arial" w:eastAsia="Arial" w:hAnsi="Arial" w:cs="Arial"/>
                <w:sz w:val="22"/>
                <w:szCs w:val="22"/>
              </w:rPr>
            </w:pPr>
            <w:r w:rsidRPr="00E619C8">
              <w:rPr>
                <w:rFonts w:ascii="Arial" w:eastAsia="Arial" w:hAnsi="Arial" w:cs="Arial"/>
                <w:sz w:val="22"/>
                <w:szCs w:val="22"/>
              </w:rPr>
              <w:t>9.</w:t>
            </w:r>
          </w:p>
        </w:tc>
        <w:tc>
          <w:tcPr>
            <w:tcW w:w="8284" w:type="dxa"/>
            <w:tcBorders>
              <w:top w:val="nil"/>
              <w:left w:val="nil"/>
              <w:bottom w:val="single" w:sz="6" w:space="0" w:color="000000"/>
              <w:right w:val="single" w:sz="6" w:space="0" w:color="000000"/>
            </w:tcBorders>
            <w:tcMar>
              <w:top w:w="100" w:type="dxa"/>
              <w:left w:w="100" w:type="dxa"/>
              <w:bottom w:w="100" w:type="dxa"/>
              <w:right w:w="100" w:type="dxa"/>
            </w:tcMar>
          </w:tcPr>
          <w:p w14:paraId="6B8A8786" w14:textId="77777777" w:rsidR="002033A5" w:rsidRPr="00E619C8" w:rsidRDefault="00E113EC" w:rsidP="006D0322">
            <w:pPr>
              <w:jc w:val="both"/>
              <w:rPr>
                <w:rFonts w:ascii="Arial" w:eastAsia="Arial" w:hAnsi="Arial" w:cs="Arial"/>
                <w:sz w:val="22"/>
                <w:szCs w:val="22"/>
              </w:rPr>
            </w:pPr>
            <w:r w:rsidRPr="00E619C8">
              <w:rPr>
                <w:rFonts w:ascii="Arial" w:eastAsia="Arial" w:hAnsi="Arial" w:cs="Arial"/>
                <w:sz w:val="22"/>
                <w:szCs w:val="22"/>
              </w:rPr>
              <w:t>Dinas Pekerjaan Umum dan Penataan Ruang  (Bidang Bina Marga)</w:t>
            </w:r>
          </w:p>
        </w:tc>
      </w:tr>
      <w:tr w:rsidR="002033A5" w:rsidRPr="00E619C8" w14:paraId="4DE3295F" w14:textId="77777777" w:rsidTr="00350B2A">
        <w:trPr>
          <w:trHeight w:val="20"/>
        </w:trPr>
        <w:tc>
          <w:tcPr>
            <w:tcW w:w="7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4C9FDE06" w14:textId="77777777" w:rsidR="002033A5" w:rsidRPr="00E619C8" w:rsidRDefault="00E113EC" w:rsidP="006D0322">
            <w:pPr>
              <w:ind w:left="560" w:hanging="560"/>
              <w:jc w:val="center"/>
              <w:rPr>
                <w:rFonts w:ascii="Arial" w:eastAsia="Arial" w:hAnsi="Arial" w:cs="Arial"/>
                <w:sz w:val="22"/>
                <w:szCs w:val="22"/>
              </w:rPr>
            </w:pPr>
            <w:r w:rsidRPr="00E619C8">
              <w:rPr>
                <w:rFonts w:ascii="Arial" w:eastAsia="Arial" w:hAnsi="Arial" w:cs="Arial"/>
                <w:sz w:val="22"/>
                <w:szCs w:val="22"/>
              </w:rPr>
              <w:t>10.</w:t>
            </w:r>
          </w:p>
        </w:tc>
        <w:tc>
          <w:tcPr>
            <w:tcW w:w="8284" w:type="dxa"/>
            <w:tcBorders>
              <w:top w:val="nil"/>
              <w:left w:val="nil"/>
              <w:bottom w:val="single" w:sz="6" w:space="0" w:color="000000"/>
              <w:right w:val="single" w:sz="6" w:space="0" w:color="000000"/>
            </w:tcBorders>
            <w:tcMar>
              <w:top w:w="100" w:type="dxa"/>
              <w:left w:w="100" w:type="dxa"/>
              <w:bottom w:w="100" w:type="dxa"/>
              <w:right w:w="100" w:type="dxa"/>
            </w:tcMar>
          </w:tcPr>
          <w:p w14:paraId="2C1572D5" w14:textId="77777777" w:rsidR="002033A5" w:rsidRPr="00E619C8" w:rsidRDefault="00E113EC" w:rsidP="006D0322">
            <w:pPr>
              <w:jc w:val="both"/>
              <w:rPr>
                <w:rFonts w:ascii="Arial" w:eastAsia="Arial" w:hAnsi="Arial" w:cs="Arial"/>
                <w:sz w:val="22"/>
                <w:szCs w:val="22"/>
              </w:rPr>
            </w:pPr>
            <w:r w:rsidRPr="00E619C8">
              <w:rPr>
                <w:rFonts w:ascii="Arial" w:eastAsia="Arial" w:hAnsi="Arial" w:cs="Arial"/>
                <w:sz w:val="22"/>
                <w:szCs w:val="22"/>
              </w:rPr>
              <w:t>Dinas Perindustrian Provinsi Nusa Tenggara Barat</w:t>
            </w:r>
          </w:p>
        </w:tc>
      </w:tr>
      <w:tr w:rsidR="002033A5" w:rsidRPr="00E619C8" w14:paraId="626877E0" w14:textId="77777777" w:rsidTr="00350B2A">
        <w:trPr>
          <w:trHeight w:val="20"/>
        </w:trPr>
        <w:tc>
          <w:tcPr>
            <w:tcW w:w="7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EB7131B" w14:textId="77777777" w:rsidR="002033A5" w:rsidRPr="00E619C8" w:rsidRDefault="00E113EC" w:rsidP="006D0322">
            <w:pPr>
              <w:ind w:left="560" w:hanging="560"/>
              <w:jc w:val="center"/>
              <w:rPr>
                <w:rFonts w:ascii="Arial" w:eastAsia="Arial" w:hAnsi="Arial" w:cs="Arial"/>
                <w:sz w:val="22"/>
                <w:szCs w:val="22"/>
              </w:rPr>
            </w:pPr>
            <w:r w:rsidRPr="00E619C8">
              <w:rPr>
                <w:rFonts w:ascii="Arial" w:eastAsia="Arial" w:hAnsi="Arial" w:cs="Arial"/>
                <w:sz w:val="22"/>
                <w:szCs w:val="22"/>
              </w:rPr>
              <w:t>11.</w:t>
            </w:r>
          </w:p>
        </w:tc>
        <w:tc>
          <w:tcPr>
            <w:tcW w:w="8284" w:type="dxa"/>
            <w:tcBorders>
              <w:top w:val="nil"/>
              <w:left w:val="nil"/>
              <w:bottom w:val="single" w:sz="6" w:space="0" w:color="000000"/>
              <w:right w:val="single" w:sz="6" w:space="0" w:color="000000"/>
            </w:tcBorders>
            <w:tcMar>
              <w:top w:w="100" w:type="dxa"/>
              <w:left w:w="100" w:type="dxa"/>
              <w:bottom w:w="100" w:type="dxa"/>
              <w:right w:w="100" w:type="dxa"/>
            </w:tcMar>
          </w:tcPr>
          <w:p w14:paraId="7064B45E" w14:textId="77777777" w:rsidR="002033A5" w:rsidRPr="00E619C8" w:rsidRDefault="00E113EC" w:rsidP="006D0322">
            <w:pPr>
              <w:jc w:val="both"/>
              <w:rPr>
                <w:rFonts w:ascii="Arial" w:eastAsia="Arial" w:hAnsi="Arial" w:cs="Arial"/>
                <w:sz w:val="22"/>
                <w:szCs w:val="22"/>
              </w:rPr>
            </w:pPr>
            <w:r w:rsidRPr="00E619C8">
              <w:rPr>
                <w:rFonts w:ascii="Arial" w:eastAsia="Arial" w:hAnsi="Arial" w:cs="Arial"/>
                <w:sz w:val="22"/>
                <w:szCs w:val="22"/>
              </w:rPr>
              <w:t>Dinas Pertanian dan Perkebunan Provinsi Nusa Tenggara Barat</w:t>
            </w:r>
          </w:p>
        </w:tc>
      </w:tr>
      <w:tr w:rsidR="002033A5" w:rsidRPr="00E619C8" w14:paraId="052598AC" w14:textId="77777777" w:rsidTr="00350B2A">
        <w:trPr>
          <w:trHeight w:val="20"/>
        </w:trPr>
        <w:tc>
          <w:tcPr>
            <w:tcW w:w="7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CCBC4A2" w14:textId="77777777" w:rsidR="002033A5" w:rsidRPr="00E619C8" w:rsidRDefault="00E113EC" w:rsidP="006D0322">
            <w:pPr>
              <w:ind w:left="560" w:hanging="560"/>
              <w:jc w:val="center"/>
              <w:rPr>
                <w:rFonts w:ascii="Arial" w:eastAsia="Arial" w:hAnsi="Arial" w:cs="Arial"/>
                <w:sz w:val="22"/>
                <w:szCs w:val="22"/>
              </w:rPr>
            </w:pPr>
            <w:r w:rsidRPr="00E619C8">
              <w:rPr>
                <w:rFonts w:ascii="Arial" w:eastAsia="Arial" w:hAnsi="Arial" w:cs="Arial"/>
                <w:sz w:val="22"/>
                <w:szCs w:val="22"/>
              </w:rPr>
              <w:t>12.</w:t>
            </w:r>
          </w:p>
        </w:tc>
        <w:tc>
          <w:tcPr>
            <w:tcW w:w="8284" w:type="dxa"/>
            <w:tcBorders>
              <w:top w:val="nil"/>
              <w:left w:val="nil"/>
              <w:bottom w:val="single" w:sz="6" w:space="0" w:color="000000"/>
              <w:right w:val="single" w:sz="6" w:space="0" w:color="000000"/>
            </w:tcBorders>
            <w:tcMar>
              <w:top w:w="100" w:type="dxa"/>
              <w:left w:w="100" w:type="dxa"/>
              <w:bottom w:w="100" w:type="dxa"/>
              <w:right w:w="100" w:type="dxa"/>
            </w:tcMar>
          </w:tcPr>
          <w:p w14:paraId="10436926" w14:textId="77777777" w:rsidR="002033A5" w:rsidRPr="00E619C8" w:rsidRDefault="00E113EC" w:rsidP="006D0322">
            <w:pPr>
              <w:jc w:val="both"/>
              <w:rPr>
                <w:rFonts w:ascii="Arial" w:eastAsia="Arial" w:hAnsi="Arial" w:cs="Arial"/>
                <w:sz w:val="22"/>
                <w:szCs w:val="22"/>
              </w:rPr>
            </w:pPr>
            <w:r w:rsidRPr="00E619C8">
              <w:rPr>
                <w:rFonts w:ascii="Arial" w:eastAsia="Arial" w:hAnsi="Arial" w:cs="Arial"/>
                <w:sz w:val="22"/>
                <w:szCs w:val="22"/>
              </w:rPr>
              <w:t>Rumah Sakit H.L. Manambai Abdul Kadir</w:t>
            </w:r>
          </w:p>
        </w:tc>
      </w:tr>
      <w:tr w:rsidR="002033A5" w:rsidRPr="00E619C8" w14:paraId="168555F1" w14:textId="77777777" w:rsidTr="00350B2A">
        <w:trPr>
          <w:trHeight w:val="20"/>
        </w:trPr>
        <w:tc>
          <w:tcPr>
            <w:tcW w:w="7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E5EA500" w14:textId="77777777" w:rsidR="002033A5" w:rsidRPr="00E619C8" w:rsidRDefault="00E113EC" w:rsidP="006D0322">
            <w:pPr>
              <w:ind w:left="560" w:hanging="560"/>
              <w:jc w:val="center"/>
              <w:rPr>
                <w:rFonts w:ascii="Arial" w:eastAsia="Arial" w:hAnsi="Arial" w:cs="Arial"/>
                <w:sz w:val="22"/>
                <w:szCs w:val="22"/>
              </w:rPr>
            </w:pPr>
            <w:r w:rsidRPr="00E619C8">
              <w:rPr>
                <w:rFonts w:ascii="Arial" w:eastAsia="Arial" w:hAnsi="Arial" w:cs="Arial"/>
                <w:sz w:val="22"/>
                <w:szCs w:val="22"/>
              </w:rPr>
              <w:t>13.</w:t>
            </w:r>
          </w:p>
        </w:tc>
        <w:tc>
          <w:tcPr>
            <w:tcW w:w="8284" w:type="dxa"/>
            <w:tcBorders>
              <w:top w:val="nil"/>
              <w:left w:val="nil"/>
              <w:bottom w:val="single" w:sz="6" w:space="0" w:color="000000"/>
              <w:right w:val="single" w:sz="6" w:space="0" w:color="000000"/>
            </w:tcBorders>
            <w:tcMar>
              <w:top w:w="100" w:type="dxa"/>
              <w:left w:w="100" w:type="dxa"/>
              <w:bottom w:w="100" w:type="dxa"/>
              <w:right w:w="100" w:type="dxa"/>
            </w:tcMar>
          </w:tcPr>
          <w:p w14:paraId="5FECB269" w14:textId="77777777" w:rsidR="002033A5" w:rsidRPr="00E619C8" w:rsidRDefault="00E113EC" w:rsidP="006D0322">
            <w:pPr>
              <w:jc w:val="both"/>
              <w:rPr>
                <w:rFonts w:ascii="Arial" w:eastAsia="Arial" w:hAnsi="Arial" w:cs="Arial"/>
                <w:sz w:val="22"/>
                <w:szCs w:val="22"/>
              </w:rPr>
            </w:pPr>
            <w:r w:rsidRPr="00E619C8">
              <w:rPr>
                <w:rFonts w:ascii="Arial" w:eastAsia="Arial" w:hAnsi="Arial" w:cs="Arial"/>
                <w:sz w:val="22"/>
                <w:szCs w:val="22"/>
              </w:rPr>
              <w:t>Badan Pengelolaan Pendapatan Daerah Provinsi Nusa Tenggara Barat</w:t>
            </w:r>
          </w:p>
        </w:tc>
      </w:tr>
      <w:tr w:rsidR="002033A5" w:rsidRPr="00E619C8" w14:paraId="33D026EF" w14:textId="77777777" w:rsidTr="00350B2A">
        <w:trPr>
          <w:trHeight w:val="20"/>
        </w:trPr>
        <w:tc>
          <w:tcPr>
            <w:tcW w:w="7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43EB254" w14:textId="77777777" w:rsidR="002033A5" w:rsidRPr="00E619C8" w:rsidRDefault="00E113EC" w:rsidP="006D0322">
            <w:pPr>
              <w:ind w:left="560" w:hanging="560"/>
              <w:jc w:val="center"/>
              <w:rPr>
                <w:rFonts w:ascii="Arial" w:eastAsia="Arial" w:hAnsi="Arial" w:cs="Arial"/>
                <w:sz w:val="22"/>
                <w:szCs w:val="22"/>
              </w:rPr>
            </w:pPr>
            <w:r w:rsidRPr="00E619C8">
              <w:rPr>
                <w:rFonts w:ascii="Arial" w:eastAsia="Arial" w:hAnsi="Arial" w:cs="Arial"/>
                <w:sz w:val="22"/>
                <w:szCs w:val="22"/>
              </w:rPr>
              <w:t>14.</w:t>
            </w:r>
          </w:p>
        </w:tc>
        <w:tc>
          <w:tcPr>
            <w:tcW w:w="8284" w:type="dxa"/>
            <w:tcBorders>
              <w:top w:val="nil"/>
              <w:left w:val="nil"/>
              <w:bottom w:val="single" w:sz="6" w:space="0" w:color="000000"/>
              <w:right w:val="single" w:sz="6" w:space="0" w:color="000000"/>
            </w:tcBorders>
            <w:tcMar>
              <w:top w:w="100" w:type="dxa"/>
              <w:left w:w="100" w:type="dxa"/>
              <w:bottom w:w="100" w:type="dxa"/>
              <w:right w:w="100" w:type="dxa"/>
            </w:tcMar>
          </w:tcPr>
          <w:p w14:paraId="444C07B3" w14:textId="54786EF6" w:rsidR="002033A5" w:rsidRPr="00E619C8" w:rsidRDefault="00E113EC" w:rsidP="006D0322">
            <w:pPr>
              <w:jc w:val="both"/>
              <w:rPr>
                <w:rFonts w:ascii="Arial" w:eastAsia="Arial" w:hAnsi="Arial" w:cs="Arial"/>
                <w:sz w:val="22"/>
                <w:szCs w:val="22"/>
              </w:rPr>
            </w:pPr>
            <w:r w:rsidRPr="00E619C8">
              <w:rPr>
                <w:rFonts w:ascii="Arial" w:eastAsia="Arial" w:hAnsi="Arial" w:cs="Arial"/>
                <w:sz w:val="22"/>
                <w:szCs w:val="22"/>
              </w:rPr>
              <w:t xml:space="preserve">Dinas Pekerjaan Umum dan Penataan </w:t>
            </w:r>
            <w:r w:rsidR="00B21013" w:rsidRPr="00E619C8">
              <w:rPr>
                <w:rFonts w:ascii="Arial" w:eastAsia="Arial" w:hAnsi="Arial" w:cs="Arial"/>
                <w:sz w:val="22"/>
                <w:szCs w:val="22"/>
              </w:rPr>
              <w:t>Ruang (</w:t>
            </w:r>
            <w:r w:rsidRPr="00E619C8">
              <w:rPr>
                <w:rFonts w:ascii="Arial" w:eastAsia="Arial" w:hAnsi="Arial" w:cs="Arial"/>
                <w:sz w:val="22"/>
                <w:szCs w:val="22"/>
              </w:rPr>
              <w:t>Bidang Sumber Daya Air)</w:t>
            </w:r>
          </w:p>
        </w:tc>
      </w:tr>
      <w:tr w:rsidR="002033A5" w:rsidRPr="00E619C8" w14:paraId="0F7EF51D" w14:textId="77777777" w:rsidTr="00350B2A">
        <w:trPr>
          <w:trHeight w:val="20"/>
        </w:trPr>
        <w:tc>
          <w:tcPr>
            <w:tcW w:w="7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53726E8C" w14:textId="77777777" w:rsidR="002033A5" w:rsidRPr="00E619C8" w:rsidRDefault="00E113EC" w:rsidP="006D0322">
            <w:pPr>
              <w:ind w:left="560" w:hanging="560"/>
              <w:jc w:val="center"/>
              <w:rPr>
                <w:rFonts w:ascii="Arial" w:eastAsia="Arial" w:hAnsi="Arial" w:cs="Arial"/>
                <w:sz w:val="22"/>
                <w:szCs w:val="22"/>
              </w:rPr>
            </w:pPr>
            <w:r w:rsidRPr="00E619C8">
              <w:rPr>
                <w:rFonts w:ascii="Arial" w:eastAsia="Arial" w:hAnsi="Arial" w:cs="Arial"/>
                <w:sz w:val="22"/>
                <w:szCs w:val="22"/>
              </w:rPr>
              <w:t>15.</w:t>
            </w:r>
          </w:p>
        </w:tc>
        <w:tc>
          <w:tcPr>
            <w:tcW w:w="8284" w:type="dxa"/>
            <w:tcBorders>
              <w:top w:val="nil"/>
              <w:left w:val="nil"/>
              <w:bottom w:val="single" w:sz="6" w:space="0" w:color="000000"/>
              <w:right w:val="single" w:sz="6" w:space="0" w:color="000000"/>
            </w:tcBorders>
            <w:tcMar>
              <w:top w:w="100" w:type="dxa"/>
              <w:left w:w="100" w:type="dxa"/>
              <w:bottom w:w="100" w:type="dxa"/>
              <w:right w:w="100" w:type="dxa"/>
            </w:tcMar>
          </w:tcPr>
          <w:p w14:paraId="6807D4E3" w14:textId="77777777" w:rsidR="002033A5" w:rsidRPr="00E619C8" w:rsidRDefault="00E113EC" w:rsidP="006D0322">
            <w:pPr>
              <w:jc w:val="both"/>
              <w:rPr>
                <w:rFonts w:ascii="Arial" w:eastAsia="Arial" w:hAnsi="Arial" w:cs="Arial"/>
                <w:sz w:val="22"/>
                <w:szCs w:val="22"/>
              </w:rPr>
            </w:pPr>
            <w:r w:rsidRPr="00E619C8">
              <w:rPr>
                <w:rFonts w:ascii="Arial" w:eastAsia="Arial" w:hAnsi="Arial" w:cs="Arial"/>
                <w:sz w:val="22"/>
                <w:szCs w:val="22"/>
              </w:rPr>
              <w:t>Dinas Perumahan Dan Pemukiman Provinsi Nusa Tenggara Barat</w:t>
            </w:r>
          </w:p>
        </w:tc>
      </w:tr>
      <w:tr w:rsidR="002033A5" w:rsidRPr="00E619C8" w14:paraId="2E913A05" w14:textId="77777777" w:rsidTr="00350B2A">
        <w:trPr>
          <w:trHeight w:val="20"/>
        </w:trPr>
        <w:tc>
          <w:tcPr>
            <w:tcW w:w="7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48E1B8D" w14:textId="77777777" w:rsidR="002033A5" w:rsidRPr="00E619C8" w:rsidRDefault="00E113EC" w:rsidP="006D0322">
            <w:pPr>
              <w:ind w:left="560" w:hanging="560"/>
              <w:jc w:val="center"/>
              <w:rPr>
                <w:rFonts w:ascii="Arial" w:eastAsia="Arial" w:hAnsi="Arial" w:cs="Arial"/>
                <w:sz w:val="22"/>
                <w:szCs w:val="22"/>
              </w:rPr>
            </w:pPr>
            <w:r w:rsidRPr="00E619C8">
              <w:rPr>
                <w:rFonts w:ascii="Arial" w:eastAsia="Arial" w:hAnsi="Arial" w:cs="Arial"/>
                <w:sz w:val="22"/>
                <w:szCs w:val="22"/>
              </w:rPr>
              <w:t>16.</w:t>
            </w:r>
          </w:p>
        </w:tc>
        <w:tc>
          <w:tcPr>
            <w:tcW w:w="8284" w:type="dxa"/>
            <w:tcBorders>
              <w:top w:val="nil"/>
              <w:left w:val="nil"/>
              <w:bottom w:val="single" w:sz="6" w:space="0" w:color="000000"/>
              <w:right w:val="single" w:sz="6" w:space="0" w:color="000000"/>
            </w:tcBorders>
            <w:tcMar>
              <w:top w:w="100" w:type="dxa"/>
              <w:left w:w="100" w:type="dxa"/>
              <w:bottom w:w="100" w:type="dxa"/>
              <w:right w:w="100" w:type="dxa"/>
            </w:tcMar>
          </w:tcPr>
          <w:p w14:paraId="2AC3A4AD" w14:textId="77777777" w:rsidR="002033A5" w:rsidRPr="00E619C8" w:rsidRDefault="00E113EC" w:rsidP="006D0322">
            <w:pPr>
              <w:jc w:val="both"/>
              <w:rPr>
                <w:rFonts w:ascii="Arial" w:eastAsia="Arial" w:hAnsi="Arial" w:cs="Arial"/>
                <w:sz w:val="22"/>
                <w:szCs w:val="22"/>
              </w:rPr>
            </w:pPr>
            <w:r w:rsidRPr="00E619C8">
              <w:rPr>
                <w:rFonts w:ascii="Arial" w:eastAsia="Arial" w:hAnsi="Arial" w:cs="Arial"/>
                <w:sz w:val="22"/>
                <w:szCs w:val="22"/>
              </w:rPr>
              <w:t>Rumah Sakit Umum Daerah Provinsi Nusa Tenggara Barat</w:t>
            </w:r>
          </w:p>
        </w:tc>
      </w:tr>
      <w:tr w:rsidR="002033A5" w:rsidRPr="00E619C8" w14:paraId="2EF4E8A2" w14:textId="77777777" w:rsidTr="00350B2A">
        <w:trPr>
          <w:trHeight w:val="20"/>
        </w:trPr>
        <w:tc>
          <w:tcPr>
            <w:tcW w:w="7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146B9C00" w14:textId="77777777" w:rsidR="002033A5" w:rsidRPr="00E619C8" w:rsidRDefault="00E113EC" w:rsidP="006D0322">
            <w:pPr>
              <w:ind w:left="560" w:hanging="560"/>
              <w:jc w:val="center"/>
              <w:rPr>
                <w:rFonts w:ascii="Arial" w:eastAsia="Arial" w:hAnsi="Arial" w:cs="Arial"/>
                <w:sz w:val="22"/>
                <w:szCs w:val="22"/>
              </w:rPr>
            </w:pPr>
            <w:r w:rsidRPr="00E619C8">
              <w:rPr>
                <w:rFonts w:ascii="Arial" w:eastAsia="Arial" w:hAnsi="Arial" w:cs="Arial"/>
                <w:sz w:val="22"/>
                <w:szCs w:val="22"/>
              </w:rPr>
              <w:t>17.</w:t>
            </w:r>
          </w:p>
        </w:tc>
        <w:tc>
          <w:tcPr>
            <w:tcW w:w="8284" w:type="dxa"/>
            <w:tcBorders>
              <w:top w:val="nil"/>
              <w:left w:val="nil"/>
              <w:bottom w:val="single" w:sz="6" w:space="0" w:color="000000"/>
              <w:right w:val="single" w:sz="6" w:space="0" w:color="000000"/>
            </w:tcBorders>
            <w:tcMar>
              <w:top w:w="100" w:type="dxa"/>
              <w:left w:w="100" w:type="dxa"/>
              <w:bottom w:w="100" w:type="dxa"/>
              <w:right w:w="100" w:type="dxa"/>
            </w:tcMar>
          </w:tcPr>
          <w:p w14:paraId="7F4C58BB" w14:textId="77777777" w:rsidR="002033A5" w:rsidRPr="00E619C8" w:rsidRDefault="00E113EC" w:rsidP="006D0322">
            <w:pPr>
              <w:jc w:val="both"/>
              <w:rPr>
                <w:rFonts w:ascii="Arial" w:eastAsia="Arial" w:hAnsi="Arial" w:cs="Arial"/>
                <w:sz w:val="22"/>
                <w:szCs w:val="22"/>
              </w:rPr>
            </w:pPr>
            <w:r w:rsidRPr="00E619C8">
              <w:rPr>
                <w:rFonts w:ascii="Arial" w:eastAsia="Arial" w:hAnsi="Arial" w:cs="Arial"/>
                <w:sz w:val="22"/>
                <w:szCs w:val="22"/>
              </w:rPr>
              <w:t>Rumah Sakit Jiwa Mutiara Sukma Provinsi NTB</w:t>
            </w:r>
          </w:p>
        </w:tc>
      </w:tr>
      <w:tr w:rsidR="002033A5" w:rsidRPr="00E619C8" w14:paraId="0FCCA018" w14:textId="77777777" w:rsidTr="00350B2A">
        <w:trPr>
          <w:trHeight w:val="20"/>
        </w:trPr>
        <w:tc>
          <w:tcPr>
            <w:tcW w:w="7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048D5B82" w14:textId="77777777" w:rsidR="002033A5" w:rsidRPr="00E619C8" w:rsidRDefault="00E113EC" w:rsidP="006D0322">
            <w:pPr>
              <w:ind w:left="560" w:hanging="560"/>
              <w:jc w:val="center"/>
              <w:rPr>
                <w:rFonts w:ascii="Arial" w:eastAsia="Arial" w:hAnsi="Arial" w:cs="Arial"/>
                <w:sz w:val="22"/>
                <w:szCs w:val="22"/>
              </w:rPr>
            </w:pPr>
            <w:r w:rsidRPr="00E619C8">
              <w:rPr>
                <w:rFonts w:ascii="Arial" w:eastAsia="Arial" w:hAnsi="Arial" w:cs="Arial"/>
                <w:sz w:val="22"/>
                <w:szCs w:val="22"/>
              </w:rPr>
              <w:t>18.</w:t>
            </w:r>
          </w:p>
        </w:tc>
        <w:tc>
          <w:tcPr>
            <w:tcW w:w="8284" w:type="dxa"/>
            <w:tcBorders>
              <w:top w:val="nil"/>
              <w:left w:val="nil"/>
              <w:bottom w:val="single" w:sz="6" w:space="0" w:color="000000"/>
              <w:right w:val="single" w:sz="6" w:space="0" w:color="000000"/>
            </w:tcBorders>
            <w:tcMar>
              <w:top w:w="100" w:type="dxa"/>
              <w:left w:w="100" w:type="dxa"/>
              <w:bottom w:w="100" w:type="dxa"/>
              <w:right w:w="100" w:type="dxa"/>
            </w:tcMar>
          </w:tcPr>
          <w:p w14:paraId="3DFC36BC" w14:textId="77777777" w:rsidR="002033A5" w:rsidRPr="00E619C8" w:rsidRDefault="00E113EC" w:rsidP="006D0322">
            <w:pPr>
              <w:jc w:val="both"/>
              <w:rPr>
                <w:rFonts w:ascii="Arial" w:eastAsia="Arial" w:hAnsi="Arial" w:cs="Arial"/>
                <w:sz w:val="22"/>
                <w:szCs w:val="22"/>
              </w:rPr>
            </w:pPr>
            <w:r w:rsidRPr="00E619C8">
              <w:rPr>
                <w:rFonts w:ascii="Arial" w:eastAsia="Arial" w:hAnsi="Arial" w:cs="Arial"/>
                <w:sz w:val="22"/>
                <w:szCs w:val="22"/>
              </w:rPr>
              <w:t>Rumah Sakit Mandalika</w:t>
            </w:r>
          </w:p>
        </w:tc>
      </w:tr>
      <w:tr w:rsidR="002033A5" w:rsidRPr="00E619C8" w14:paraId="4027DD56" w14:textId="77777777" w:rsidTr="00350B2A">
        <w:trPr>
          <w:trHeight w:val="20"/>
        </w:trPr>
        <w:tc>
          <w:tcPr>
            <w:tcW w:w="780" w:type="dxa"/>
            <w:tcBorders>
              <w:top w:val="nil"/>
              <w:left w:val="single" w:sz="6" w:space="0" w:color="000000"/>
              <w:bottom w:val="single" w:sz="6" w:space="0" w:color="000000"/>
              <w:right w:val="single" w:sz="6" w:space="0" w:color="000000"/>
            </w:tcBorders>
            <w:tcMar>
              <w:top w:w="100" w:type="dxa"/>
              <w:left w:w="100" w:type="dxa"/>
              <w:bottom w:w="100" w:type="dxa"/>
              <w:right w:w="100" w:type="dxa"/>
            </w:tcMar>
          </w:tcPr>
          <w:p w14:paraId="38266B5F" w14:textId="77777777" w:rsidR="002033A5" w:rsidRPr="00E619C8" w:rsidRDefault="00E113EC" w:rsidP="006D0322">
            <w:pPr>
              <w:ind w:left="560" w:hanging="560"/>
              <w:jc w:val="center"/>
              <w:rPr>
                <w:rFonts w:ascii="Arial" w:eastAsia="Arial" w:hAnsi="Arial" w:cs="Arial"/>
                <w:sz w:val="22"/>
                <w:szCs w:val="22"/>
              </w:rPr>
            </w:pPr>
            <w:r w:rsidRPr="00E619C8">
              <w:rPr>
                <w:rFonts w:ascii="Arial" w:eastAsia="Arial" w:hAnsi="Arial" w:cs="Arial"/>
                <w:sz w:val="22"/>
                <w:szCs w:val="22"/>
              </w:rPr>
              <w:t>19.</w:t>
            </w:r>
          </w:p>
        </w:tc>
        <w:tc>
          <w:tcPr>
            <w:tcW w:w="8284" w:type="dxa"/>
            <w:tcBorders>
              <w:top w:val="nil"/>
              <w:left w:val="nil"/>
              <w:bottom w:val="single" w:sz="6" w:space="0" w:color="000000"/>
              <w:right w:val="single" w:sz="6" w:space="0" w:color="000000"/>
            </w:tcBorders>
            <w:tcMar>
              <w:top w:w="100" w:type="dxa"/>
              <w:left w:w="100" w:type="dxa"/>
              <w:bottom w:w="100" w:type="dxa"/>
              <w:right w:w="100" w:type="dxa"/>
            </w:tcMar>
          </w:tcPr>
          <w:p w14:paraId="34F1ED42" w14:textId="77777777" w:rsidR="002033A5" w:rsidRPr="00E619C8" w:rsidRDefault="00E113EC" w:rsidP="006D0322">
            <w:pPr>
              <w:jc w:val="both"/>
              <w:rPr>
                <w:rFonts w:ascii="Arial" w:eastAsia="Arial" w:hAnsi="Arial" w:cs="Arial"/>
                <w:sz w:val="22"/>
                <w:szCs w:val="22"/>
              </w:rPr>
            </w:pPr>
            <w:r w:rsidRPr="00E619C8">
              <w:rPr>
                <w:rFonts w:ascii="Arial" w:eastAsia="Arial" w:hAnsi="Arial" w:cs="Arial"/>
                <w:sz w:val="22"/>
                <w:szCs w:val="22"/>
              </w:rPr>
              <w:t>Sekrektariat Dewan Perwakilan Rakyat Daerah Prov. NTB</w:t>
            </w:r>
          </w:p>
        </w:tc>
      </w:tr>
    </w:tbl>
    <w:p w14:paraId="6308166A" w14:textId="359EEE68" w:rsidR="00DD0F1A" w:rsidRPr="00E619C8" w:rsidRDefault="00DD0F1A" w:rsidP="006D0322">
      <w:pPr>
        <w:spacing w:before="120" w:line="301" w:lineRule="auto"/>
        <w:jc w:val="center"/>
        <w:rPr>
          <w:rFonts w:ascii="Arial" w:eastAsia="Arial" w:hAnsi="Arial" w:cs="Arial"/>
          <w:sz w:val="22"/>
          <w:szCs w:val="22"/>
        </w:rPr>
      </w:pPr>
      <w:r w:rsidRPr="00E619C8">
        <w:rPr>
          <w:rFonts w:ascii="Arial" w:eastAsia="Arial" w:hAnsi="Arial" w:cs="Arial"/>
          <w:sz w:val="22"/>
          <w:szCs w:val="22"/>
        </w:rPr>
        <w:t>Table 3. List of ITI Procurement Entities 2025</w:t>
      </w:r>
    </w:p>
    <w:p w14:paraId="5462F658" w14:textId="5ABD75EA" w:rsidR="002033A5" w:rsidRPr="00E619C8" w:rsidRDefault="00413A93">
      <w:pPr>
        <w:spacing w:before="120" w:line="301" w:lineRule="auto"/>
        <w:jc w:val="both"/>
        <w:rPr>
          <w:rFonts w:ascii="Arial" w:eastAsia="Arial" w:hAnsi="Arial" w:cs="Arial"/>
          <w:sz w:val="22"/>
          <w:szCs w:val="22"/>
        </w:rPr>
      </w:pPr>
      <w:r w:rsidRPr="00E619C8">
        <w:rPr>
          <w:rFonts w:ascii="Arial" w:eastAsia="Arial" w:hAnsi="Arial" w:cs="Arial"/>
          <w:sz w:val="22"/>
          <w:szCs w:val="22"/>
        </w:rPr>
        <w:t>The p</w:t>
      </w:r>
      <w:r w:rsidR="00D928E6" w:rsidRPr="00E619C8">
        <w:rPr>
          <w:rFonts w:ascii="Arial" w:eastAsia="Arial" w:hAnsi="Arial" w:cs="Arial"/>
          <w:sz w:val="22"/>
          <w:szCs w:val="22"/>
        </w:rPr>
        <w:t>roject selection process</w:t>
      </w:r>
      <w:r w:rsidRPr="00E619C8">
        <w:rPr>
          <w:rFonts w:ascii="Arial" w:eastAsia="Arial" w:hAnsi="Arial" w:cs="Arial"/>
          <w:sz w:val="22"/>
          <w:szCs w:val="22"/>
        </w:rPr>
        <w:t xml:space="preserve"> included</w:t>
      </w:r>
      <w:r w:rsidR="00D928E6" w:rsidRPr="00E619C8">
        <w:rPr>
          <w:rFonts w:ascii="Arial" w:eastAsia="Arial" w:hAnsi="Arial" w:cs="Arial"/>
          <w:sz w:val="22"/>
          <w:szCs w:val="22"/>
        </w:rPr>
        <w:t>:</w:t>
      </w:r>
    </w:p>
    <w:p w14:paraId="73918075" w14:textId="77777777" w:rsidR="002033A5" w:rsidRPr="00E619C8" w:rsidRDefault="00E113EC">
      <w:pPr>
        <w:numPr>
          <w:ilvl w:val="0"/>
          <w:numId w:val="3"/>
        </w:numPr>
        <w:spacing w:before="120" w:line="301" w:lineRule="auto"/>
        <w:jc w:val="both"/>
        <w:rPr>
          <w:rFonts w:ascii="Arial" w:eastAsia="Arial" w:hAnsi="Arial" w:cs="Arial"/>
          <w:sz w:val="22"/>
          <w:szCs w:val="22"/>
        </w:rPr>
      </w:pPr>
      <w:r w:rsidRPr="00E619C8">
        <w:rPr>
          <w:rFonts w:ascii="Arial" w:eastAsia="Arial" w:hAnsi="Arial" w:cs="Arial"/>
          <w:sz w:val="22"/>
          <w:szCs w:val="22"/>
        </w:rPr>
        <w:t>Record all project work for the 2022-2025 period.</w:t>
      </w:r>
    </w:p>
    <w:p w14:paraId="2FF9F753" w14:textId="77777777" w:rsidR="002033A5" w:rsidRPr="00E619C8" w:rsidRDefault="00E113EC">
      <w:pPr>
        <w:numPr>
          <w:ilvl w:val="0"/>
          <w:numId w:val="3"/>
        </w:numPr>
        <w:pBdr>
          <w:top w:val="nil"/>
          <w:left w:val="nil"/>
          <w:bottom w:val="nil"/>
          <w:right w:val="nil"/>
          <w:between w:val="nil"/>
        </w:pBdr>
        <w:spacing w:line="301" w:lineRule="auto"/>
        <w:jc w:val="both"/>
        <w:rPr>
          <w:rFonts w:ascii="Arial" w:eastAsia="Arial" w:hAnsi="Arial" w:cs="Arial"/>
          <w:sz w:val="22"/>
          <w:szCs w:val="22"/>
        </w:rPr>
      </w:pPr>
      <w:r w:rsidRPr="00E619C8">
        <w:rPr>
          <w:rFonts w:ascii="Arial" w:eastAsia="Arial" w:hAnsi="Arial" w:cs="Arial"/>
          <w:sz w:val="22"/>
          <w:szCs w:val="22"/>
        </w:rPr>
        <w:t>Collect project data for each agency/agency.</w:t>
      </w:r>
    </w:p>
    <w:p w14:paraId="2391F782" w14:textId="77777777" w:rsidR="002033A5" w:rsidRPr="00E619C8" w:rsidRDefault="00E113EC">
      <w:pPr>
        <w:numPr>
          <w:ilvl w:val="0"/>
          <w:numId w:val="3"/>
        </w:numPr>
        <w:pBdr>
          <w:top w:val="nil"/>
          <w:left w:val="nil"/>
          <w:bottom w:val="nil"/>
          <w:right w:val="nil"/>
          <w:between w:val="nil"/>
        </w:pBdr>
        <w:spacing w:line="301" w:lineRule="auto"/>
        <w:jc w:val="both"/>
        <w:rPr>
          <w:rFonts w:ascii="Arial" w:eastAsia="Arial" w:hAnsi="Arial" w:cs="Arial"/>
          <w:sz w:val="22"/>
          <w:szCs w:val="22"/>
        </w:rPr>
      </w:pPr>
      <w:r w:rsidRPr="00E619C8">
        <w:rPr>
          <w:rFonts w:ascii="Arial" w:eastAsia="Arial" w:hAnsi="Arial" w:cs="Arial"/>
          <w:sz w:val="22"/>
          <w:szCs w:val="22"/>
        </w:rPr>
        <w:t>Sort from highest to lowest project value for each agency/agency.</w:t>
      </w:r>
    </w:p>
    <w:p w14:paraId="75D279C4" w14:textId="77777777" w:rsidR="00D928E6" w:rsidRPr="00E619C8" w:rsidRDefault="00E113EC">
      <w:pPr>
        <w:numPr>
          <w:ilvl w:val="0"/>
          <w:numId w:val="3"/>
        </w:numPr>
        <w:pBdr>
          <w:top w:val="nil"/>
          <w:left w:val="nil"/>
          <w:bottom w:val="nil"/>
          <w:right w:val="nil"/>
          <w:between w:val="nil"/>
        </w:pBdr>
        <w:spacing w:line="301" w:lineRule="auto"/>
        <w:jc w:val="both"/>
        <w:rPr>
          <w:rFonts w:ascii="Arial" w:eastAsia="Arial" w:hAnsi="Arial" w:cs="Arial"/>
          <w:sz w:val="22"/>
          <w:szCs w:val="22"/>
        </w:rPr>
      </w:pPr>
      <w:r w:rsidRPr="00E619C8">
        <w:rPr>
          <w:rFonts w:ascii="Arial" w:eastAsia="Arial" w:hAnsi="Arial" w:cs="Arial"/>
          <w:sz w:val="22"/>
          <w:szCs w:val="22"/>
        </w:rPr>
        <w:t xml:space="preserve">Select </w:t>
      </w:r>
      <w:r w:rsidR="00D928E6" w:rsidRPr="00E619C8">
        <w:rPr>
          <w:rFonts w:ascii="Arial" w:eastAsia="Arial" w:hAnsi="Arial" w:cs="Arial"/>
          <w:sz w:val="22"/>
          <w:szCs w:val="22"/>
        </w:rPr>
        <w:t xml:space="preserve">one, </w:t>
      </w:r>
      <w:r w:rsidRPr="00E619C8">
        <w:rPr>
          <w:rFonts w:ascii="Arial" w:eastAsia="Arial" w:hAnsi="Arial" w:cs="Arial"/>
          <w:sz w:val="22"/>
          <w:szCs w:val="22"/>
        </w:rPr>
        <w:t>two or three projects</w:t>
      </w:r>
      <w:r w:rsidR="00D928E6" w:rsidRPr="00E619C8">
        <w:rPr>
          <w:rFonts w:ascii="Arial" w:eastAsia="Arial" w:hAnsi="Arial" w:cs="Arial"/>
          <w:sz w:val="22"/>
          <w:szCs w:val="22"/>
        </w:rPr>
        <w:t xml:space="preserve"> by entity according to how many projects were available.</w:t>
      </w:r>
      <w:r w:rsidRPr="00E619C8">
        <w:rPr>
          <w:rFonts w:ascii="Arial" w:eastAsia="Arial" w:hAnsi="Arial" w:cs="Arial"/>
          <w:sz w:val="22"/>
          <w:szCs w:val="22"/>
        </w:rPr>
        <w:t xml:space="preserve"> </w:t>
      </w:r>
    </w:p>
    <w:p w14:paraId="31D0ED3A" w14:textId="6F6A925B" w:rsidR="002033A5" w:rsidRPr="00E619C8" w:rsidRDefault="00D928E6">
      <w:pPr>
        <w:numPr>
          <w:ilvl w:val="0"/>
          <w:numId w:val="3"/>
        </w:numPr>
        <w:pBdr>
          <w:top w:val="nil"/>
          <w:left w:val="nil"/>
          <w:bottom w:val="nil"/>
          <w:right w:val="nil"/>
          <w:between w:val="nil"/>
        </w:pBdr>
        <w:spacing w:line="301" w:lineRule="auto"/>
        <w:jc w:val="both"/>
        <w:rPr>
          <w:rFonts w:ascii="Arial" w:eastAsia="Arial" w:hAnsi="Arial" w:cs="Arial"/>
          <w:sz w:val="22"/>
          <w:szCs w:val="22"/>
        </w:rPr>
      </w:pPr>
      <w:r w:rsidRPr="00E619C8">
        <w:rPr>
          <w:rFonts w:ascii="Arial" w:eastAsia="Arial" w:hAnsi="Arial" w:cs="Arial"/>
          <w:sz w:val="22"/>
          <w:szCs w:val="22"/>
        </w:rPr>
        <w:t xml:space="preserve">The first project was the one </w:t>
      </w:r>
      <w:r w:rsidR="00A05661">
        <w:rPr>
          <w:rFonts w:ascii="Arial" w:eastAsia="Arial" w:hAnsi="Arial" w:cs="Arial"/>
          <w:sz w:val="22"/>
          <w:szCs w:val="22"/>
        </w:rPr>
        <w:t>with the highest contract value,</w:t>
      </w:r>
      <w:r w:rsidRPr="00E619C8">
        <w:rPr>
          <w:rFonts w:ascii="Arial" w:eastAsia="Arial" w:hAnsi="Arial" w:cs="Arial"/>
          <w:sz w:val="22"/>
          <w:szCs w:val="22"/>
        </w:rPr>
        <w:t xml:space="preserve"> and the second and third projects were randomly selected.</w:t>
      </w:r>
    </w:p>
    <w:p w14:paraId="372989FC" w14:textId="71513B08" w:rsidR="002033A5" w:rsidRPr="00E619C8" w:rsidRDefault="00E113EC">
      <w:pPr>
        <w:numPr>
          <w:ilvl w:val="0"/>
          <w:numId w:val="3"/>
        </w:numPr>
        <w:pBdr>
          <w:top w:val="nil"/>
          <w:left w:val="nil"/>
          <w:bottom w:val="nil"/>
          <w:right w:val="nil"/>
          <w:between w:val="nil"/>
        </w:pBdr>
        <w:spacing w:line="301" w:lineRule="auto"/>
        <w:jc w:val="both"/>
        <w:rPr>
          <w:rFonts w:ascii="Arial" w:eastAsia="Arial" w:hAnsi="Arial" w:cs="Arial"/>
          <w:sz w:val="22"/>
          <w:szCs w:val="22"/>
        </w:rPr>
      </w:pPr>
      <w:r w:rsidRPr="00E619C8">
        <w:rPr>
          <w:rFonts w:ascii="Arial" w:eastAsia="Arial" w:hAnsi="Arial" w:cs="Arial"/>
          <w:sz w:val="22"/>
          <w:szCs w:val="22"/>
        </w:rPr>
        <w:t xml:space="preserve">Conduct an evaluation according to the </w:t>
      </w:r>
      <w:r w:rsidR="00D928E6" w:rsidRPr="00E619C8">
        <w:rPr>
          <w:rFonts w:ascii="Arial" w:eastAsia="Arial" w:hAnsi="Arial" w:cs="Arial"/>
          <w:sz w:val="22"/>
          <w:szCs w:val="22"/>
        </w:rPr>
        <w:t>ITI indicators</w:t>
      </w:r>
      <w:r w:rsidRPr="00E619C8">
        <w:rPr>
          <w:rFonts w:ascii="Arial" w:eastAsia="Arial" w:hAnsi="Arial" w:cs="Arial"/>
          <w:sz w:val="22"/>
          <w:szCs w:val="22"/>
        </w:rPr>
        <w:t>.</w:t>
      </w:r>
    </w:p>
    <w:p w14:paraId="4F9F6010" w14:textId="04F9CCE6" w:rsidR="002033A5" w:rsidRPr="00E619C8" w:rsidRDefault="00413A93">
      <w:pPr>
        <w:spacing w:before="120" w:line="301" w:lineRule="auto"/>
        <w:jc w:val="both"/>
        <w:rPr>
          <w:rFonts w:ascii="Arial" w:eastAsia="Arial" w:hAnsi="Arial" w:cs="Arial"/>
          <w:sz w:val="22"/>
          <w:szCs w:val="22"/>
        </w:rPr>
      </w:pPr>
      <w:r w:rsidRPr="00E619C8">
        <w:rPr>
          <w:rFonts w:ascii="Arial" w:eastAsia="Arial" w:hAnsi="Arial" w:cs="Arial"/>
          <w:sz w:val="22"/>
          <w:szCs w:val="22"/>
        </w:rPr>
        <w:t>The criteria used considered Agencies that undertake infrastructure development projects funded by the West Nusa Tenggara Provincial Budget (APBD).</w:t>
      </w:r>
    </w:p>
    <w:p w14:paraId="303525A6" w14:textId="77777777" w:rsidR="002033A5" w:rsidRPr="00E619C8" w:rsidRDefault="00E113EC">
      <w:pPr>
        <w:spacing w:before="120" w:line="301" w:lineRule="auto"/>
        <w:jc w:val="both"/>
        <w:rPr>
          <w:rFonts w:ascii="Arial" w:eastAsia="Arial" w:hAnsi="Arial" w:cs="Arial"/>
          <w:sz w:val="22"/>
          <w:szCs w:val="22"/>
        </w:rPr>
      </w:pPr>
      <w:r w:rsidRPr="00E619C8">
        <w:rPr>
          <w:rFonts w:ascii="Arial" w:eastAsia="Arial" w:hAnsi="Arial" w:cs="Arial"/>
          <w:sz w:val="22"/>
          <w:szCs w:val="22"/>
        </w:rPr>
        <w:t>Data used:</w:t>
      </w:r>
    </w:p>
    <w:p w14:paraId="01F210FF" w14:textId="77777777" w:rsidR="002033A5" w:rsidRPr="00E619C8" w:rsidRDefault="00E113EC">
      <w:pPr>
        <w:numPr>
          <w:ilvl w:val="0"/>
          <w:numId w:val="32"/>
        </w:numPr>
        <w:spacing w:before="120" w:line="301" w:lineRule="auto"/>
        <w:jc w:val="both"/>
        <w:rPr>
          <w:rFonts w:ascii="Arial" w:eastAsia="Arial" w:hAnsi="Arial" w:cs="Arial"/>
          <w:sz w:val="22"/>
          <w:szCs w:val="22"/>
        </w:rPr>
      </w:pPr>
      <w:r w:rsidRPr="00E619C8">
        <w:rPr>
          <w:rFonts w:ascii="Arial" w:eastAsia="Arial" w:hAnsi="Arial" w:cs="Arial"/>
          <w:sz w:val="22"/>
          <w:szCs w:val="22"/>
        </w:rPr>
        <w:t>Infrastructure project value.</w:t>
      </w:r>
    </w:p>
    <w:p w14:paraId="3E82C940" w14:textId="7E3650EB" w:rsidR="002033A5" w:rsidRPr="00E619C8" w:rsidRDefault="00E113EC">
      <w:pPr>
        <w:numPr>
          <w:ilvl w:val="0"/>
          <w:numId w:val="32"/>
        </w:numPr>
        <w:pBdr>
          <w:top w:val="nil"/>
          <w:left w:val="nil"/>
          <w:bottom w:val="nil"/>
          <w:right w:val="nil"/>
          <w:between w:val="nil"/>
        </w:pBdr>
        <w:spacing w:line="301" w:lineRule="auto"/>
        <w:jc w:val="both"/>
        <w:rPr>
          <w:rFonts w:ascii="Arial" w:eastAsia="Arial" w:hAnsi="Arial" w:cs="Arial"/>
          <w:sz w:val="22"/>
          <w:szCs w:val="22"/>
        </w:rPr>
      </w:pPr>
      <w:r w:rsidRPr="00E619C8">
        <w:rPr>
          <w:rFonts w:ascii="Arial" w:eastAsia="Arial" w:hAnsi="Arial" w:cs="Arial"/>
          <w:sz w:val="22"/>
          <w:szCs w:val="22"/>
        </w:rPr>
        <w:t>Budgeting source data must</w:t>
      </w:r>
      <w:r w:rsidR="00413A93" w:rsidRPr="00E619C8">
        <w:rPr>
          <w:rFonts w:ascii="Arial" w:eastAsia="Arial" w:hAnsi="Arial" w:cs="Arial"/>
          <w:sz w:val="22"/>
          <w:szCs w:val="22"/>
        </w:rPr>
        <w:t xml:space="preserve"> have been</w:t>
      </w:r>
      <w:r w:rsidRPr="00E619C8">
        <w:rPr>
          <w:rFonts w:ascii="Arial" w:eastAsia="Arial" w:hAnsi="Arial" w:cs="Arial"/>
          <w:sz w:val="22"/>
          <w:szCs w:val="22"/>
        </w:rPr>
        <w:t xml:space="preserve"> sourced from the West Nusa Tenggara Provincial APBD.</w:t>
      </w:r>
    </w:p>
    <w:p w14:paraId="3A6F6216" w14:textId="77777777" w:rsidR="002033A5" w:rsidRPr="00E619C8" w:rsidRDefault="00E113EC">
      <w:pPr>
        <w:numPr>
          <w:ilvl w:val="0"/>
          <w:numId w:val="32"/>
        </w:numPr>
        <w:pBdr>
          <w:top w:val="nil"/>
          <w:left w:val="nil"/>
          <w:bottom w:val="nil"/>
          <w:right w:val="nil"/>
          <w:between w:val="nil"/>
        </w:pBdr>
        <w:spacing w:line="301" w:lineRule="auto"/>
        <w:jc w:val="both"/>
        <w:rPr>
          <w:rFonts w:ascii="Arial" w:eastAsia="Arial" w:hAnsi="Arial" w:cs="Arial"/>
          <w:sz w:val="22"/>
          <w:szCs w:val="22"/>
        </w:rPr>
      </w:pPr>
      <w:r w:rsidRPr="00E619C8">
        <w:rPr>
          <w:rFonts w:ascii="Arial" w:eastAsia="Arial" w:hAnsi="Arial" w:cs="Arial"/>
          <w:sz w:val="22"/>
          <w:szCs w:val="22"/>
        </w:rPr>
        <w:t>Project implementation is in West Nusa Tenggara.</w:t>
      </w:r>
    </w:p>
    <w:p w14:paraId="0FB2476D" w14:textId="1B326B19" w:rsidR="002033A5" w:rsidRDefault="00E113EC" w:rsidP="006D0322">
      <w:pPr>
        <w:numPr>
          <w:ilvl w:val="0"/>
          <w:numId w:val="32"/>
        </w:numPr>
        <w:pBdr>
          <w:top w:val="nil"/>
          <w:left w:val="nil"/>
          <w:bottom w:val="nil"/>
          <w:right w:val="nil"/>
          <w:between w:val="nil"/>
        </w:pBdr>
        <w:spacing w:line="301" w:lineRule="auto"/>
        <w:jc w:val="both"/>
        <w:rPr>
          <w:rFonts w:ascii="Arial" w:eastAsia="Arial" w:hAnsi="Arial" w:cs="Arial"/>
          <w:sz w:val="22"/>
          <w:szCs w:val="22"/>
        </w:rPr>
      </w:pPr>
      <w:r w:rsidRPr="00E619C8">
        <w:rPr>
          <w:rFonts w:ascii="Arial" w:eastAsia="Arial" w:hAnsi="Arial" w:cs="Arial"/>
          <w:sz w:val="22"/>
          <w:szCs w:val="22"/>
        </w:rPr>
        <w:t>The project sector is public infrastructure development.</w:t>
      </w:r>
    </w:p>
    <w:p w14:paraId="25CB0A4E" w14:textId="77777777" w:rsidR="00933440" w:rsidRPr="00E619C8" w:rsidRDefault="00933440" w:rsidP="00933440">
      <w:pPr>
        <w:pBdr>
          <w:top w:val="nil"/>
          <w:left w:val="nil"/>
          <w:bottom w:val="nil"/>
          <w:right w:val="nil"/>
          <w:between w:val="nil"/>
        </w:pBdr>
        <w:spacing w:line="301" w:lineRule="auto"/>
        <w:jc w:val="both"/>
        <w:rPr>
          <w:rFonts w:ascii="Arial" w:eastAsia="Arial" w:hAnsi="Arial" w:cs="Arial"/>
          <w:sz w:val="22"/>
          <w:szCs w:val="22"/>
        </w:rPr>
      </w:pPr>
    </w:p>
    <w:p w14:paraId="456AD858" w14:textId="77777777" w:rsidR="002033A5" w:rsidRPr="00E619C8" w:rsidRDefault="00E113EC">
      <w:pPr>
        <w:pStyle w:val="Heading2"/>
        <w:pBdr>
          <w:top w:val="nil"/>
          <w:left w:val="nil"/>
          <w:bottom w:val="nil"/>
          <w:right w:val="nil"/>
          <w:between w:val="nil"/>
        </w:pBdr>
        <w:spacing w:before="320" w:after="160" w:line="276" w:lineRule="auto"/>
        <w:jc w:val="both"/>
        <w:rPr>
          <w:rFonts w:ascii="Arial" w:eastAsia="Arial" w:hAnsi="Arial" w:cs="Arial"/>
          <w:sz w:val="22"/>
          <w:szCs w:val="22"/>
        </w:rPr>
      </w:pPr>
      <w:bookmarkStart w:id="13" w:name="_Toc227235255"/>
      <w:r w:rsidRPr="00E619C8">
        <w:rPr>
          <w:rFonts w:ascii="Arial" w:eastAsia="Arial" w:hAnsi="Arial" w:cs="Arial"/>
          <w:b/>
          <w:bCs/>
          <w:color w:val="C00000"/>
          <w:sz w:val="28"/>
          <w:szCs w:val="28"/>
        </w:rPr>
        <w:t>2.4 Infrastructure project sample</w:t>
      </w:r>
      <w:bookmarkEnd w:id="13"/>
      <w:r w:rsidRPr="00E619C8">
        <w:rPr>
          <w:rFonts w:ascii="Arial" w:eastAsia="Arial" w:hAnsi="Arial" w:cs="Arial"/>
          <w:b/>
          <w:bCs/>
          <w:color w:val="C00000"/>
          <w:sz w:val="28"/>
          <w:szCs w:val="28"/>
        </w:rPr>
        <w:t xml:space="preserve"> </w:t>
      </w:r>
    </w:p>
    <w:p w14:paraId="2EFA8734" w14:textId="04CB3E83" w:rsidR="002033A5" w:rsidRPr="00E619C8" w:rsidRDefault="00E113EC">
      <w:pP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A sample of </w:t>
      </w:r>
      <w:r w:rsidR="00A05661">
        <w:rPr>
          <w:rFonts w:ascii="Arial" w:eastAsia="Arial" w:hAnsi="Arial" w:cs="Arial"/>
          <w:sz w:val="22"/>
          <w:szCs w:val="22"/>
        </w:rPr>
        <w:t>1, 2, or 3</w:t>
      </w:r>
      <w:r w:rsidRPr="00E619C8">
        <w:rPr>
          <w:rFonts w:ascii="Arial" w:eastAsia="Arial" w:hAnsi="Arial" w:cs="Arial"/>
          <w:sz w:val="22"/>
          <w:szCs w:val="22"/>
        </w:rPr>
        <w:t xml:space="preserve"> projects was selected for each Procurement Entity (PE), depending on the number of projects managed. The steps </w:t>
      </w:r>
      <w:r w:rsidR="00413A93" w:rsidRPr="00E619C8">
        <w:rPr>
          <w:rFonts w:ascii="Arial" w:eastAsia="Arial" w:hAnsi="Arial" w:cs="Arial"/>
          <w:sz w:val="22"/>
          <w:szCs w:val="22"/>
        </w:rPr>
        <w:t>taken included</w:t>
      </w:r>
      <w:r w:rsidRPr="00E619C8">
        <w:rPr>
          <w:rFonts w:ascii="Arial" w:eastAsia="Arial" w:hAnsi="Arial" w:cs="Arial"/>
          <w:sz w:val="22"/>
          <w:szCs w:val="22"/>
        </w:rPr>
        <w:t>:</w:t>
      </w:r>
    </w:p>
    <w:p w14:paraId="5C21AA8F" w14:textId="77777777" w:rsidR="002033A5" w:rsidRPr="00E619C8" w:rsidRDefault="00E113EC">
      <w:pPr>
        <w:numPr>
          <w:ilvl w:val="0"/>
          <w:numId w:val="11"/>
        </w:numPr>
        <w:spacing w:before="120" w:line="301" w:lineRule="auto"/>
        <w:jc w:val="both"/>
        <w:rPr>
          <w:rFonts w:ascii="Arial" w:eastAsia="Arial" w:hAnsi="Arial" w:cs="Arial"/>
          <w:sz w:val="22"/>
          <w:szCs w:val="22"/>
        </w:rPr>
      </w:pPr>
      <w:r w:rsidRPr="00E619C8">
        <w:rPr>
          <w:rFonts w:ascii="Arial" w:eastAsia="Arial" w:hAnsi="Arial" w:cs="Arial"/>
          <w:sz w:val="22"/>
          <w:szCs w:val="22"/>
        </w:rPr>
        <w:t>Data Collection.</w:t>
      </w:r>
    </w:p>
    <w:p w14:paraId="12991388" w14:textId="298D0070" w:rsidR="002033A5" w:rsidRPr="00E619C8" w:rsidRDefault="00E113EC">
      <w:pPr>
        <w:spacing w:before="120" w:line="301" w:lineRule="auto"/>
        <w:ind w:left="720"/>
        <w:jc w:val="both"/>
        <w:rPr>
          <w:rFonts w:ascii="Arial" w:eastAsia="Arial" w:hAnsi="Arial" w:cs="Arial"/>
          <w:sz w:val="22"/>
          <w:szCs w:val="22"/>
        </w:rPr>
      </w:pPr>
      <w:r w:rsidRPr="00E619C8">
        <w:rPr>
          <w:rFonts w:ascii="Arial" w:eastAsia="Arial" w:hAnsi="Arial" w:cs="Arial"/>
          <w:sz w:val="22"/>
          <w:szCs w:val="22"/>
        </w:rPr>
        <w:t xml:space="preserve">Infrastructure project data was collected from several sources, including </w:t>
      </w:r>
      <w:r w:rsidR="00350B2A" w:rsidRPr="00E619C8">
        <w:rPr>
          <w:rFonts w:ascii="Arial" w:eastAsia="Arial" w:hAnsi="Arial" w:cs="Arial"/>
          <w:sz w:val="22"/>
          <w:szCs w:val="22"/>
        </w:rPr>
        <w:t>regionally owned</w:t>
      </w:r>
      <w:r w:rsidRPr="00E619C8">
        <w:rPr>
          <w:rFonts w:ascii="Arial" w:eastAsia="Arial" w:hAnsi="Arial" w:cs="Arial"/>
          <w:sz w:val="22"/>
          <w:szCs w:val="22"/>
        </w:rPr>
        <w:t xml:space="preserve"> enterprises (BUMD) in West Nusa Tenggara Province. Data was obtained from the LPSE (State-Owned Enterprises) (LPSE), which contains details such as name, type, sector, budget, implementation year, and funding source.</w:t>
      </w:r>
    </w:p>
    <w:p w14:paraId="158F0B3F" w14:textId="77777777" w:rsidR="002033A5" w:rsidRPr="00E619C8" w:rsidRDefault="00E113EC">
      <w:pPr>
        <w:numPr>
          <w:ilvl w:val="0"/>
          <w:numId w:val="11"/>
        </w:numPr>
        <w:pBdr>
          <w:top w:val="nil"/>
          <w:left w:val="nil"/>
          <w:bottom w:val="nil"/>
          <w:right w:val="nil"/>
          <w:between w:val="nil"/>
        </w:pBdr>
        <w:spacing w:before="120" w:line="301" w:lineRule="auto"/>
        <w:jc w:val="both"/>
        <w:rPr>
          <w:rFonts w:ascii="Arial" w:eastAsia="Arial" w:hAnsi="Arial" w:cs="Arial"/>
          <w:sz w:val="22"/>
          <w:szCs w:val="22"/>
        </w:rPr>
      </w:pPr>
      <w:r w:rsidRPr="00E619C8">
        <w:rPr>
          <w:rFonts w:ascii="Arial" w:eastAsia="Arial" w:hAnsi="Arial" w:cs="Arial"/>
          <w:sz w:val="22"/>
          <w:szCs w:val="22"/>
        </w:rPr>
        <w:t>Project Classification.</w:t>
      </w:r>
    </w:p>
    <w:p w14:paraId="2BAF2443" w14:textId="180EF0AF" w:rsidR="002033A5" w:rsidRPr="00E619C8" w:rsidRDefault="00E113EC">
      <w:pPr>
        <w:pBdr>
          <w:top w:val="nil"/>
          <w:left w:val="nil"/>
          <w:bottom w:val="nil"/>
          <w:right w:val="nil"/>
          <w:between w:val="nil"/>
        </w:pBdr>
        <w:spacing w:before="120" w:line="301" w:lineRule="auto"/>
        <w:ind w:left="720"/>
        <w:jc w:val="both"/>
        <w:rPr>
          <w:rFonts w:ascii="Arial" w:eastAsia="Arial" w:hAnsi="Arial" w:cs="Arial"/>
          <w:sz w:val="22"/>
          <w:szCs w:val="22"/>
        </w:rPr>
      </w:pPr>
      <w:r w:rsidRPr="00E619C8">
        <w:rPr>
          <w:rFonts w:ascii="Arial" w:eastAsia="Arial" w:hAnsi="Arial" w:cs="Arial"/>
          <w:sz w:val="22"/>
          <w:szCs w:val="22"/>
        </w:rPr>
        <w:t>Projects were classified by sector (e.g., roads, buildings, water supply systems, irrigation networks</w:t>
      </w:r>
      <w:r w:rsidR="00A05661">
        <w:rPr>
          <w:rFonts w:ascii="Arial" w:eastAsia="Arial" w:hAnsi="Arial" w:cs="Arial"/>
          <w:sz w:val="22"/>
          <w:szCs w:val="22"/>
        </w:rPr>
        <w:t xml:space="preserve">, etc.) and by </w:t>
      </w:r>
      <w:r w:rsidRPr="00E619C8">
        <w:rPr>
          <w:rFonts w:ascii="Arial" w:eastAsia="Arial" w:hAnsi="Arial" w:cs="Arial"/>
          <w:sz w:val="22"/>
          <w:szCs w:val="22"/>
        </w:rPr>
        <w:t>project budget.</w:t>
      </w:r>
    </w:p>
    <w:p w14:paraId="790EF6E7" w14:textId="77777777" w:rsidR="002033A5" w:rsidRPr="00E619C8" w:rsidRDefault="00E113EC">
      <w:pPr>
        <w:numPr>
          <w:ilvl w:val="0"/>
          <w:numId w:val="11"/>
        </w:numPr>
        <w:pBdr>
          <w:top w:val="nil"/>
          <w:left w:val="nil"/>
          <w:bottom w:val="nil"/>
          <w:right w:val="nil"/>
          <w:between w:val="nil"/>
        </w:pBdr>
        <w:spacing w:before="120" w:line="301" w:lineRule="auto"/>
        <w:jc w:val="both"/>
        <w:rPr>
          <w:rFonts w:ascii="Arial" w:eastAsia="Arial" w:hAnsi="Arial" w:cs="Arial"/>
          <w:sz w:val="22"/>
          <w:szCs w:val="22"/>
        </w:rPr>
      </w:pPr>
      <w:r w:rsidRPr="00E619C8">
        <w:rPr>
          <w:rFonts w:ascii="Arial" w:eastAsia="Arial" w:hAnsi="Arial" w:cs="Arial"/>
          <w:sz w:val="22"/>
          <w:szCs w:val="22"/>
        </w:rPr>
        <w:t>Project Selection.</w:t>
      </w:r>
    </w:p>
    <w:p w14:paraId="4E22F095" w14:textId="02AD5D48" w:rsidR="002033A5" w:rsidRPr="00E619C8" w:rsidRDefault="00D928E6">
      <w:pPr>
        <w:pBdr>
          <w:top w:val="nil"/>
          <w:left w:val="nil"/>
          <w:bottom w:val="nil"/>
          <w:right w:val="nil"/>
          <w:between w:val="nil"/>
        </w:pBdr>
        <w:spacing w:before="120" w:line="301" w:lineRule="auto"/>
        <w:ind w:left="720"/>
        <w:jc w:val="both"/>
        <w:rPr>
          <w:rFonts w:ascii="Arial" w:eastAsia="Arial" w:hAnsi="Arial" w:cs="Arial"/>
          <w:sz w:val="22"/>
          <w:szCs w:val="22"/>
        </w:rPr>
      </w:pPr>
      <w:r w:rsidRPr="00E619C8">
        <w:rPr>
          <w:rFonts w:ascii="Arial" w:eastAsia="Arial" w:hAnsi="Arial" w:cs="Arial"/>
          <w:sz w:val="22"/>
          <w:szCs w:val="22"/>
        </w:rPr>
        <w:t>One, two or three different projects were selected from each entity. The first selection was made for the highest-scoring projects, followed by random selection, with projects previously evaluated being eliminated.</w:t>
      </w:r>
    </w:p>
    <w:p w14:paraId="2D7456ED" w14:textId="3A2BAED1" w:rsidR="002033A5" w:rsidRPr="00E619C8" w:rsidRDefault="00E113EC" w:rsidP="006D0322">
      <w:pPr>
        <w:pBdr>
          <w:top w:val="nil"/>
          <w:left w:val="nil"/>
          <w:bottom w:val="nil"/>
          <w:right w:val="nil"/>
          <w:between w:val="nil"/>
        </w:pBdr>
        <w:spacing w:before="240" w:after="160" w:line="300" w:lineRule="auto"/>
        <w:jc w:val="both"/>
        <w:rPr>
          <w:rFonts w:ascii="Arial" w:eastAsia="Arial" w:hAnsi="Arial" w:cs="Arial"/>
          <w:sz w:val="22"/>
          <w:szCs w:val="22"/>
        </w:rPr>
      </w:pPr>
      <w:r w:rsidRPr="00E619C8">
        <w:rPr>
          <w:rFonts w:ascii="Arial" w:eastAsia="Arial" w:hAnsi="Arial" w:cs="Arial"/>
          <w:sz w:val="22"/>
          <w:szCs w:val="22"/>
        </w:rPr>
        <w:t>The criteria for selecting infrastructure project samples included classification by Managing Entity (</w:t>
      </w:r>
      <w:r w:rsidR="00A05661">
        <w:rPr>
          <w:rFonts w:ascii="Arial" w:eastAsia="Arial" w:hAnsi="Arial" w:cs="Arial"/>
          <w:sz w:val="22"/>
          <w:szCs w:val="22"/>
        </w:rPr>
        <w:t>M</w:t>
      </w:r>
      <w:r w:rsidRPr="00E619C8">
        <w:rPr>
          <w:rFonts w:ascii="Arial" w:eastAsia="Arial" w:hAnsi="Arial" w:cs="Arial"/>
          <w:sz w:val="22"/>
          <w:szCs w:val="22"/>
        </w:rPr>
        <w:t>E) and Budget Amount. Projects were selected to represent PEs at the provincial level, ensuring comprehensive coverage.</w:t>
      </w:r>
    </w:p>
    <w:p w14:paraId="633790EC" w14:textId="77777777" w:rsidR="002033A5"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The data used for project selection includes information from the project database, project implementation stages, contract data, project name, budget, project sector, and implementation year.</w:t>
      </w:r>
    </w:p>
    <w:p w14:paraId="4580557F" w14:textId="104EDA8D" w:rsidR="00933440" w:rsidRPr="00933440" w:rsidRDefault="00933440" w:rsidP="00933440">
      <w:pPr>
        <w:pBdr>
          <w:top w:val="nil"/>
          <w:left w:val="nil"/>
          <w:bottom w:val="nil"/>
          <w:right w:val="nil"/>
          <w:between w:val="nil"/>
        </w:pBdr>
        <w:spacing w:after="160" w:line="300" w:lineRule="auto"/>
        <w:jc w:val="both"/>
        <w:rPr>
          <w:rFonts w:ascii="Arial" w:eastAsia="Arial" w:hAnsi="Arial" w:cs="Arial"/>
          <w:sz w:val="22"/>
          <w:szCs w:val="22"/>
        </w:rPr>
      </w:pPr>
      <w:r>
        <w:rPr>
          <w:rFonts w:ascii="Arial" w:eastAsia="Arial" w:hAnsi="Arial" w:cs="Arial"/>
          <w:sz w:val="22"/>
          <w:szCs w:val="22"/>
        </w:rPr>
        <w:t xml:space="preserve">It should be noted that </w:t>
      </w:r>
      <w:r w:rsidR="00970F81">
        <w:rPr>
          <w:rFonts w:ascii="Arial" w:eastAsia="Arial" w:hAnsi="Arial" w:cs="Arial"/>
          <w:sz w:val="22"/>
          <w:szCs w:val="22"/>
        </w:rPr>
        <w:t>the initial plan was to</w:t>
      </w:r>
      <w:r w:rsidRPr="00933440">
        <w:rPr>
          <w:rFonts w:ascii="Arial" w:eastAsia="Arial" w:hAnsi="Arial" w:cs="Arial"/>
          <w:sz w:val="22"/>
          <w:szCs w:val="22"/>
        </w:rPr>
        <w:t xml:space="preserve"> review 100 projects, but </w:t>
      </w:r>
      <w:r w:rsidR="008F6197">
        <w:rPr>
          <w:rFonts w:ascii="Arial" w:eastAsia="Arial" w:hAnsi="Arial" w:cs="Arial"/>
          <w:sz w:val="22"/>
          <w:szCs w:val="22"/>
        </w:rPr>
        <w:t xml:space="preserve">following the ITI </w:t>
      </w:r>
      <w:r w:rsidR="00A05661">
        <w:rPr>
          <w:rFonts w:ascii="Arial" w:eastAsia="Arial" w:hAnsi="Arial" w:cs="Arial"/>
          <w:sz w:val="22"/>
          <w:szCs w:val="22"/>
        </w:rPr>
        <w:t>evaluators'</w:t>
      </w:r>
      <w:r w:rsidR="008F6197">
        <w:rPr>
          <w:rFonts w:ascii="Arial" w:eastAsia="Arial" w:hAnsi="Arial" w:cs="Arial"/>
          <w:sz w:val="22"/>
          <w:szCs w:val="22"/>
        </w:rPr>
        <w:t xml:space="preserve"> training in Lombok, and using the filtering methodology, targeting projects and entities from </w:t>
      </w:r>
      <w:r w:rsidRPr="00933440">
        <w:rPr>
          <w:rFonts w:ascii="Arial" w:eastAsia="Arial" w:hAnsi="Arial" w:cs="Arial"/>
          <w:sz w:val="22"/>
          <w:szCs w:val="22"/>
        </w:rPr>
        <w:t xml:space="preserve">NTB </w:t>
      </w:r>
      <w:r w:rsidR="008F6197">
        <w:rPr>
          <w:rFonts w:ascii="Arial" w:eastAsia="Arial" w:hAnsi="Arial" w:cs="Arial"/>
          <w:sz w:val="22"/>
          <w:szCs w:val="22"/>
        </w:rPr>
        <w:t>between the period</w:t>
      </w:r>
      <w:r w:rsidRPr="00933440">
        <w:rPr>
          <w:rFonts w:ascii="Arial" w:eastAsia="Arial" w:hAnsi="Arial" w:cs="Arial"/>
          <w:sz w:val="22"/>
          <w:szCs w:val="22"/>
        </w:rPr>
        <w:t xml:space="preserve"> 2022 to 2025, </w:t>
      </w:r>
      <w:r w:rsidR="008F6197">
        <w:rPr>
          <w:rFonts w:ascii="Arial" w:eastAsia="Arial" w:hAnsi="Arial" w:cs="Arial"/>
          <w:sz w:val="22"/>
          <w:szCs w:val="22"/>
        </w:rPr>
        <w:t xml:space="preserve">a total of </w:t>
      </w:r>
      <w:r w:rsidRPr="00933440">
        <w:rPr>
          <w:rFonts w:ascii="Arial" w:eastAsia="Arial" w:hAnsi="Arial" w:cs="Arial"/>
          <w:sz w:val="22"/>
          <w:szCs w:val="22"/>
        </w:rPr>
        <w:t>19 entities and 32 projects</w:t>
      </w:r>
      <w:r w:rsidR="008F6197">
        <w:rPr>
          <w:rFonts w:ascii="Arial" w:eastAsia="Arial" w:hAnsi="Arial" w:cs="Arial"/>
          <w:sz w:val="22"/>
          <w:szCs w:val="22"/>
        </w:rPr>
        <w:t xml:space="preserve"> were filtered that qualified to participate in the ITI. NTB has more </w:t>
      </w:r>
      <w:r w:rsidR="00A05661">
        <w:rPr>
          <w:rFonts w:ascii="Arial" w:eastAsia="Arial" w:hAnsi="Arial" w:cs="Arial"/>
          <w:sz w:val="22"/>
          <w:szCs w:val="22"/>
        </w:rPr>
        <w:t>than 30 entities, but not all of them have projects that fell within the</w:t>
      </w:r>
      <w:r w:rsidR="008F6197">
        <w:rPr>
          <w:rFonts w:ascii="Arial" w:eastAsia="Arial" w:hAnsi="Arial" w:cs="Arial"/>
          <w:sz w:val="22"/>
          <w:szCs w:val="22"/>
        </w:rPr>
        <w:t xml:space="preserve"> period selected for the review.  </w:t>
      </w:r>
    </w:p>
    <w:p w14:paraId="65BF8ADE" w14:textId="0429D3E0"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The infrastructure project period </w:t>
      </w:r>
      <w:r w:rsidR="00D928E6" w:rsidRPr="00E619C8">
        <w:rPr>
          <w:rFonts w:ascii="Arial" w:eastAsia="Arial" w:hAnsi="Arial" w:cs="Arial"/>
          <w:sz w:val="22"/>
          <w:szCs w:val="22"/>
        </w:rPr>
        <w:t xml:space="preserve">was </w:t>
      </w:r>
      <w:r w:rsidRPr="00E619C8">
        <w:rPr>
          <w:rFonts w:ascii="Arial" w:eastAsia="Arial" w:hAnsi="Arial" w:cs="Arial"/>
          <w:sz w:val="22"/>
          <w:szCs w:val="22"/>
        </w:rPr>
        <w:t>from 2022 to 2025 and represent</w:t>
      </w:r>
      <w:r w:rsidR="00D928E6" w:rsidRPr="00E619C8">
        <w:rPr>
          <w:rFonts w:ascii="Arial" w:eastAsia="Arial" w:hAnsi="Arial" w:cs="Arial"/>
          <w:sz w:val="22"/>
          <w:szCs w:val="22"/>
        </w:rPr>
        <w:t>ed only</w:t>
      </w:r>
      <w:r w:rsidRPr="00E619C8">
        <w:rPr>
          <w:rFonts w:ascii="Arial" w:eastAsia="Arial" w:hAnsi="Arial" w:cs="Arial"/>
          <w:sz w:val="22"/>
          <w:szCs w:val="22"/>
        </w:rPr>
        <w:t xml:space="preserve"> completed projects. A list of infrastructure project names, managing agencies, and budget amounts </w:t>
      </w:r>
      <w:r w:rsidR="007F6F83" w:rsidRPr="00E619C8">
        <w:rPr>
          <w:rFonts w:ascii="Arial" w:eastAsia="Arial" w:hAnsi="Arial" w:cs="Arial"/>
          <w:sz w:val="22"/>
          <w:szCs w:val="22"/>
        </w:rPr>
        <w:t>is presented</w:t>
      </w:r>
      <w:r w:rsidRPr="00E619C8">
        <w:rPr>
          <w:rFonts w:ascii="Arial" w:eastAsia="Arial" w:hAnsi="Arial" w:cs="Arial"/>
          <w:sz w:val="22"/>
          <w:szCs w:val="22"/>
        </w:rPr>
        <w:t xml:space="preserve"> in Table 4.</w:t>
      </w:r>
    </w:p>
    <w:p w14:paraId="003F5E63" w14:textId="05D53CBA" w:rsidR="002033A5" w:rsidRPr="00E619C8" w:rsidRDefault="002033A5">
      <w:pPr>
        <w:spacing w:before="120" w:after="120" w:line="301" w:lineRule="auto"/>
        <w:ind w:left="560"/>
        <w:jc w:val="both"/>
        <w:rPr>
          <w:rFonts w:ascii="Arial" w:eastAsia="Arial" w:hAnsi="Arial" w:cs="Arial"/>
          <w:sz w:val="22"/>
          <w:szCs w:val="22"/>
        </w:rPr>
      </w:pPr>
    </w:p>
    <w:tbl>
      <w:tblPr>
        <w:tblStyle w:val="a4"/>
        <w:tblW w:w="9030" w:type="dxa"/>
        <w:tblBorders>
          <w:top w:val="nil"/>
          <w:left w:val="nil"/>
          <w:bottom w:val="nil"/>
          <w:right w:val="nil"/>
          <w:insideH w:val="nil"/>
          <w:insideV w:val="nil"/>
        </w:tblBorders>
        <w:tblLayout w:type="fixed"/>
        <w:tblLook w:val="0600" w:firstRow="0" w:lastRow="0" w:firstColumn="0" w:lastColumn="0" w:noHBand="1" w:noVBand="1"/>
      </w:tblPr>
      <w:tblGrid>
        <w:gridCol w:w="690"/>
        <w:gridCol w:w="3130"/>
        <w:gridCol w:w="1984"/>
        <w:gridCol w:w="1096"/>
        <w:gridCol w:w="2130"/>
      </w:tblGrid>
      <w:tr w:rsidR="002033A5" w:rsidRPr="00E619C8" w14:paraId="7CA90F6E" w14:textId="77777777" w:rsidTr="00FC1D48">
        <w:trPr>
          <w:trHeight w:val="585"/>
          <w:tblHeader/>
        </w:trPr>
        <w:tc>
          <w:tcPr>
            <w:tcW w:w="690" w:type="dxa"/>
            <w:tcBorders>
              <w:top w:val="single" w:sz="6" w:space="0" w:color="000000"/>
              <w:left w:val="single" w:sz="6" w:space="0" w:color="000000"/>
              <w:bottom w:val="single" w:sz="6" w:space="0" w:color="000000"/>
              <w:right w:val="single" w:sz="6" w:space="0" w:color="000000"/>
            </w:tcBorders>
            <w:shd w:val="clear" w:color="auto" w:fill="C00000"/>
            <w:tcMar>
              <w:top w:w="0" w:type="dxa"/>
              <w:left w:w="100" w:type="dxa"/>
              <w:bottom w:w="0" w:type="dxa"/>
              <w:right w:w="100" w:type="dxa"/>
            </w:tcMar>
            <w:vAlign w:val="center"/>
          </w:tcPr>
          <w:p w14:paraId="1A14B97C" w14:textId="77777777" w:rsidR="002033A5" w:rsidRPr="00E619C8" w:rsidRDefault="00E113EC" w:rsidP="002308AF">
            <w:pPr>
              <w:spacing w:line="300" w:lineRule="auto"/>
              <w:jc w:val="center"/>
              <w:rPr>
                <w:rFonts w:ascii="Arial" w:eastAsia="Arial" w:hAnsi="Arial" w:cs="Arial"/>
                <w:b/>
                <w:bCs/>
                <w:sz w:val="22"/>
                <w:szCs w:val="22"/>
              </w:rPr>
            </w:pPr>
            <w:r w:rsidRPr="00E619C8">
              <w:rPr>
                <w:rFonts w:ascii="Arial" w:eastAsia="Arial" w:hAnsi="Arial" w:cs="Arial"/>
                <w:b/>
                <w:bCs/>
                <w:sz w:val="22"/>
                <w:szCs w:val="22"/>
              </w:rPr>
              <w:t>No</w:t>
            </w:r>
          </w:p>
        </w:tc>
        <w:tc>
          <w:tcPr>
            <w:tcW w:w="3130" w:type="dxa"/>
            <w:tcBorders>
              <w:top w:val="single" w:sz="6" w:space="0" w:color="000000"/>
              <w:left w:val="nil"/>
              <w:bottom w:val="single" w:sz="6" w:space="0" w:color="000000"/>
              <w:right w:val="single" w:sz="6" w:space="0" w:color="000000"/>
            </w:tcBorders>
            <w:shd w:val="clear" w:color="auto" w:fill="C00000"/>
            <w:tcMar>
              <w:top w:w="0" w:type="dxa"/>
              <w:left w:w="100" w:type="dxa"/>
              <w:bottom w:w="0" w:type="dxa"/>
              <w:right w:w="100" w:type="dxa"/>
            </w:tcMar>
            <w:vAlign w:val="center"/>
          </w:tcPr>
          <w:p w14:paraId="281C8265" w14:textId="77777777" w:rsidR="002033A5" w:rsidRPr="00E619C8" w:rsidRDefault="00E113EC" w:rsidP="002308AF">
            <w:pPr>
              <w:spacing w:line="300" w:lineRule="auto"/>
              <w:jc w:val="center"/>
              <w:rPr>
                <w:rFonts w:ascii="Arial" w:eastAsia="Arial" w:hAnsi="Arial" w:cs="Arial"/>
                <w:b/>
                <w:bCs/>
                <w:sz w:val="22"/>
                <w:szCs w:val="22"/>
              </w:rPr>
            </w:pPr>
            <w:r w:rsidRPr="00E619C8">
              <w:rPr>
                <w:rFonts w:ascii="Arial" w:eastAsia="Arial" w:hAnsi="Arial" w:cs="Arial"/>
                <w:b/>
                <w:bCs/>
                <w:sz w:val="22"/>
                <w:szCs w:val="22"/>
              </w:rPr>
              <w:t>Project Name</w:t>
            </w:r>
          </w:p>
        </w:tc>
        <w:tc>
          <w:tcPr>
            <w:tcW w:w="1984" w:type="dxa"/>
            <w:tcBorders>
              <w:top w:val="single" w:sz="6" w:space="0" w:color="000000"/>
              <w:left w:val="nil"/>
              <w:bottom w:val="single" w:sz="6" w:space="0" w:color="000000"/>
              <w:right w:val="single" w:sz="6" w:space="0" w:color="000000"/>
            </w:tcBorders>
            <w:shd w:val="clear" w:color="auto" w:fill="C00000"/>
            <w:tcMar>
              <w:top w:w="0" w:type="dxa"/>
              <w:left w:w="100" w:type="dxa"/>
              <w:bottom w:w="0" w:type="dxa"/>
              <w:right w:w="100" w:type="dxa"/>
            </w:tcMar>
            <w:vAlign w:val="center"/>
          </w:tcPr>
          <w:p w14:paraId="68C33550" w14:textId="1E13A05D" w:rsidR="002033A5" w:rsidRPr="00E619C8" w:rsidRDefault="00E113EC" w:rsidP="002308AF">
            <w:pPr>
              <w:spacing w:before="120" w:after="120" w:line="300" w:lineRule="auto"/>
              <w:jc w:val="center"/>
              <w:rPr>
                <w:rFonts w:ascii="Arial" w:eastAsia="Arial" w:hAnsi="Arial" w:cs="Arial"/>
                <w:b/>
                <w:bCs/>
                <w:sz w:val="22"/>
                <w:szCs w:val="22"/>
              </w:rPr>
            </w:pPr>
            <w:r w:rsidRPr="00E619C8">
              <w:rPr>
                <w:rFonts w:ascii="Arial" w:eastAsia="Arial" w:hAnsi="Arial" w:cs="Arial"/>
                <w:b/>
                <w:bCs/>
                <w:sz w:val="22"/>
                <w:szCs w:val="22"/>
              </w:rPr>
              <w:t>Procurement Entit</w:t>
            </w:r>
            <w:r w:rsidR="00FC1D48" w:rsidRPr="00E619C8">
              <w:rPr>
                <w:rFonts w:ascii="Arial" w:eastAsia="Arial" w:hAnsi="Arial" w:cs="Arial"/>
                <w:b/>
                <w:bCs/>
                <w:sz w:val="22"/>
                <w:szCs w:val="22"/>
              </w:rPr>
              <w:t>y</w:t>
            </w:r>
          </w:p>
        </w:tc>
        <w:tc>
          <w:tcPr>
            <w:tcW w:w="1096" w:type="dxa"/>
            <w:tcBorders>
              <w:top w:val="single" w:sz="6" w:space="0" w:color="000000"/>
              <w:left w:val="nil"/>
              <w:bottom w:val="single" w:sz="6" w:space="0" w:color="000000"/>
              <w:right w:val="single" w:sz="6" w:space="0" w:color="000000"/>
            </w:tcBorders>
            <w:shd w:val="clear" w:color="auto" w:fill="C00000"/>
            <w:tcMar>
              <w:top w:w="0" w:type="dxa"/>
              <w:left w:w="100" w:type="dxa"/>
              <w:bottom w:w="0" w:type="dxa"/>
              <w:right w:w="100" w:type="dxa"/>
            </w:tcMar>
            <w:vAlign w:val="center"/>
          </w:tcPr>
          <w:p w14:paraId="23E11B33" w14:textId="77777777" w:rsidR="002033A5" w:rsidRPr="00E619C8" w:rsidRDefault="00E113EC" w:rsidP="002308AF">
            <w:pPr>
              <w:spacing w:line="300" w:lineRule="auto"/>
              <w:jc w:val="center"/>
              <w:rPr>
                <w:rFonts w:ascii="Arial" w:eastAsia="Arial" w:hAnsi="Arial" w:cs="Arial"/>
                <w:b/>
                <w:bCs/>
                <w:sz w:val="22"/>
                <w:szCs w:val="22"/>
              </w:rPr>
            </w:pPr>
            <w:r w:rsidRPr="00E619C8">
              <w:rPr>
                <w:rFonts w:ascii="Arial" w:eastAsia="Arial" w:hAnsi="Arial" w:cs="Arial"/>
                <w:b/>
                <w:bCs/>
                <w:sz w:val="22"/>
                <w:szCs w:val="22"/>
              </w:rPr>
              <w:t>Years</w:t>
            </w:r>
          </w:p>
        </w:tc>
        <w:tc>
          <w:tcPr>
            <w:tcW w:w="2130" w:type="dxa"/>
            <w:tcBorders>
              <w:top w:val="single" w:sz="6" w:space="0" w:color="000000"/>
              <w:left w:val="nil"/>
              <w:bottom w:val="single" w:sz="6" w:space="0" w:color="000000"/>
              <w:right w:val="single" w:sz="6" w:space="0" w:color="000000"/>
            </w:tcBorders>
            <w:shd w:val="clear" w:color="auto" w:fill="C00000"/>
            <w:tcMar>
              <w:top w:w="0" w:type="dxa"/>
              <w:left w:w="100" w:type="dxa"/>
              <w:bottom w:w="0" w:type="dxa"/>
              <w:right w:w="100" w:type="dxa"/>
            </w:tcMar>
            <w:vAlign w:val="center"/>
          </w:tcPr>
          <w:p w14:paraId="0DDD44E7" w14:textId="77777777" w:rsidR="002033A5" w:rsidRPr="00E619C8" w:rsidRDefault="00E113EC" w:rsidP="002308AF">
            <w:pPr>
              <w:spacing w:line="300" w:lineRule="auto"/>
              <w:jc w:val="center"/>
              <w:rPr>
                <w:rFonts w:ascii="Arial" w:eastAsia="Arial" w:hAnsi="Arial" w:cs="Arial"/>
                <w:b/>
                <w:bCs/>
                <w:sz w:val="22"/>
                <w:szCs w:val="22"/>
              </w:rPr>
            </w:pPr>
            <w:r w:rsidRPr="00E619C8">
              <w:rPr>
                <w:rFonts w:ascii="Arial" w:eastAsia="Arial" w:hAnsi="Arial" w:cs="Arial"/>
                <w:b/>
                <w:bCs/>
                <w:sz w:val="22"/>
                <w:szCs w:val="22"/>
              </w:rPr>
              <w:t>Budget</w:t>
            </w:r>
          </w:p>
        </w:tc>
      </w:tr>
      <w:tr w:rsidR="002033A5" w:rsidRPr="00E619C8" w14:paraId="66588402" w14:textId="77777777" w:rsidTr="00FC1D48">
        <w:trPr>
          <w:trHeight w:val="1136"/>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CC1F408"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1.</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37BBC786"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Perpanjangan Dermaga dan Fasilitas Pendukungnya Pelabuhan Perikanan Pantai Labuhan Lombok (DAK)</w:t>
            </w:r>
          </w:p>
        </w:tc>
        <w:tc>
          <w:tcPr>
            <w:tcW w:w="1984"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39E239D2"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Dinas Kelautan dan Perikanan</w:t>
            </w: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36D0F479"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2023</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093F8EDE"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8.032.879.000</w:t>
            </w:r>
          </w:p>
        </w:tc>
      </w:tr>
      <w:tr w:rsidR="002033A5" w:rsidRPr="00E619C8" w14:paraId="0CA19486" w14:textId="77777777" w:rsidTr="00FC1D48">
        <w:trPr>
          <w:trHeight w:val="20"/>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CD24C1"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2.</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1507ECC3"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Pengerukan Kolam Pelabuhan PP Sape</w:t>
            </w:r>
          </w:p>
        </w:tc>
        <w:tc>
          <w:tcPr>
            <w:tcW w:w="1984" w:type="dxa"/>
            <w:vMerge/>
            <w:tcBorders>
              <w:top w:val="nil"/>
              <w:left w:val="nil"/>
              <w:bottom w:val="single" w:sz="6" w:space="0" w:color="000000"/>
              <w:right w:val="single" w:sz="6" w:space="0" w:color="000000"/>
            </w:tcBorders>
            <w:tcMar>
              <w:top w:w="100" w:type="dxa"/>
              <w:left w:w="100" w:type="dxa"/>
              <w:bottom w:w="100" w:type="dxa"/>
              <w:right w:w="100" w:type="dxa"/>
            </w:tcMar>
          </w:tcPr>
          <w:p w14:paraId="6C12B6D9" w14:textId="77777777" w:rsidR="002033A5" w:rsidRPr="00E619C8" w:rsidRDefault="002033A5" w:rsidP="00FC1D48">
            <w:pPr>
              <w:spacing w:after="160"/>
              <w:rPr>
                <w:rFonts w:ascii="Arial" w:eastAsia="Arial" w:hAnsi="Arial" w:cs="Arial"/>
                <w:sz w:val="22"/>
                <w:szCs w:val="22"/>
              </w:rPr>
            </w:pP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24FDA403"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2024</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3189C043"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2.900.000.000</w:t>
            </w:r>
          </w:p>
        </w:tc>
      </w:tr>
      <w:tr w:rsidR="002033A5" w:rsidRPr="00E619C8" w14:paraId="233CFA59" w14:textId="77777777" w:rsidTr="00FC1D48">
        <w:trPr>
          <w:trHeight w:val="849"/>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DCB856A"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3.</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73C9F7D7"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Revitalisasi Gedung Pusat Layanan Usaha Terpadu (PLUT)</w:t>
            </w:r>
          </w:p>
        </w:tc>
        <w:tc>
          <w:tcPr>
            <w:tcW w:w="1984"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2635E61F"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Dinas Koperasi Usaha Kecil dan Menengah</w:t>
            </w: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7CCA0634"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2024</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6D5CFC03"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3.600.000.000</w:t>
            </w:r>
          </w:p>
        </w:tc>
      </w:tr>
      <w:tr w:rsidR="002033A5" w:rsidRPr="00E619C8" w14:paraId="1F389F49" w14:textId="77777777" w:rsidTr="00FC1D48">
        <w:trPr>
          <w:trHeight w:val="20"/>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5CFA87"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4.</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0B03F0DA"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Bangunan Gedung PLUT KUKM Provinsi NTB</w:t>
            </w:r>
          </w:p>
        </w:tc>
        <w:tc>
          <w:tcPr>
            <w:tcW w:w="1984" w:type="dxa"/>
            <w:vMerge/>
            <w:tcBorders>
              <w:top w:val="nil"/>
              <w:left w:val="nil"/>
              <w:bottom w:val="single" w:sz="6" w:space="0" w:color="000000"/>
              <w:right w:val="single" w:sz="6" w:space="0" w:color="000000"/>
            </w:tcBorders>
            <w:tcMar>
              <w:top w:w="100" w:type="dxa"/>
              <w:left w:w="100" w:type="dxa"/>
              <w:bottom w:w="100" w:type="dxa"/>
              <w:right w:w="100" w:type="dxa"/>
            </w:tcMar>
          </w:tcPr>
          <w:p w14:paraId="313B8C93" w14:textId="77777777" w:rsidR="002033A5" w:rsidRPr="00E619C8" w:rsidRDefault="002033A5" w:rsidP="00FC1D48">
            <w:pPr>
              <w:spacing w:after="160"/>
              <w:rPr>
                <w:rFonts w:ascii="Arial" w:eastAsia="Arial" w:hAnsi="Arial" w:cs="Arial"/>
                <w:sz w:val="22"/>
                <w:szCs w:val="22"/>
              </w:rPr>
            </w:pP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548CB1C7"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2025</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348CF8FC"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434.912.000</w:t>
            </w:r>
          </w:p>
        </w:tc>
      </w:tr>
      <w:tr w:rsidR="002033A5" w:rsidRPr="00E619C8" w14:paraId="1742C16D" w14:textId="77777777" w:rsidTr="00FC1D48">
        <w:trPr>
          <w:trHeight w:val="613"/>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436EC9"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5.</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67FE08DB"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Renovasi Gedung Kantor Gubernur Provinsi NTB</w:t>
            </w:r>
          </w:p>
        </w:tc>
        <w:tc>
          <w:tcPr>
            <w:tcW w:w="1984" w:type="dxa"/>
            <w:vMerge w:val="restart"/>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7A6B2B8"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Dinas Pekerjaan Umum dan Penataan Ruang (Bidang Cipta Karya)</w:t>
            </w: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71230BAA"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2024</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68837C41"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35.500.000.000</w:t>
            </w:r>
          </w:p>
        </w:tc>
      </w:tr>
      <w:tr w:rsidR="002033A5" w:rsidRPr="00E619C8" w14:paraId="451FCC8F" w14:textId="77777777" w:rsidTr="00FC1D48">
        <w:trPr>
          <w:trHeight w:val="20"/>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033714"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6.</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5164FB37"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Pembangunan Mako Brimob Kompi Lobar</w:t>
            </w:r>
          </w:p>
        </w:tc>
        <w:tc>
          <w:tcPr>
            <w:tcW w:w="1984" w:type="dxa"/>
            <w:vMerge/>
            <w:tcBorders>
              <w:top w:val="nil"/>
              <w:left w:val="nil"/>
              <w:bottom w:val="single" w:sz="6" w:space="0" w:color="000000"/>
              <w:right w:val="single" w:sz="6" w:space="0" w:color="000000"/>
            </w:tcBorders>
            <w:tcMar>
              <w:top w:w="100" w:type="dxa"/>
              <w:left w:w="100" w:type="dxa"/>
              <w:bottom w:w="100" w:type="dxa"/>
              <w:right w:w="100" w:type="dxa"/>
            </w:tcMar>
          </w:tcPr>
          <w:p w14:paraId="2A065E0D" w14:textId="77777777" w:rsidR="002033A5" w:rsidRPr="00E619C8" w:rsidRDefault="002033A5" w:rsidP="00FC1D48">
            <w:pPr>
              <w:spacing w:after="160"/>
              <w:rPr>
                <w:rFonts w:ascii="Arial" w:eastAsia="Arial" w:hAnsi="Arial" w:cs="Arial"/>
                <w:sz w:val="22"/>
                <w:szCs w:val="22"/>
              </w:rPr>
            </w:pP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5152CFDF"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2022</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70FD6BDC"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3.000.000.000</w:t>
            </w:r>
          </w:p>
        </w:tc>
      </w:tr>
      <w:tr w:rsidR="002033A5" w:rsidRPr="00E619C8" w14:paraId="475DACE4" w14:textId="77777777" w:rsidTr="00FC1D48">
        <w:trPr>
          <w:trHeight w:val="20"/>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F76A87"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7.</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01BEC26B"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Rehabilitasi Masjid Raya At-Taqwa</w:t>
            </w:r>
          </w:p>
        </w:tc>
        <w:tc>
          <w:tcPr>
            <w:tcW w:w="1984" w:type="dxa"/>
            <w:vMerge/>
            <w:tcBorders>
              <w:top w:val="nil"/>
              <w:left w:val="nil"/>
              <w:bottom w:val="single" w:sz="6" w:space="0" w:color="000000"/>
              <w:right w:val="single" w:sz="6" w:space="0" w:color="000000"/>
            </w:tcBorders>
            <w:tcMar>
              <w:top w:w="100" w:type="dxa"/>
              <w:left w:w="100" w:type="dxa"/>
              <w:bottom w:w="100" w:type="dxa"/>
              <w:right w:w="100" w:type="dxa"/>
            </w:tcMar>
          </w:tcPr>
          <w:p w14:paraId="0E3542A3" w14:textId="77777777" w:rsidR="002033A5" w:rsidRPr="00E619C8" w:rsidRDefault="002033A5" w:rsidP="00FC1D48">
            <w:pPr>
              <w:spacing w:after="160"/>
              <w:rPr>
                <w:rFonts w:ascii="Arial" w:eastAsia="Arial" w:hAnsi="Arial" w:cs="Arial"/>
                <w:sz w:val="22"/>
                <w:szCs w:val="22"/>
              </w:rPr>
            </w:pP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2C4A30CC"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2024</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353EDAD3"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1.500.000.000</w:t>
            </w:r>
          </w:p>
        </w:tc>
      </w:tr>
      <w:tr w:rsidR="002033A5" w:rsidRPr="00E619C8" w14:paraId="0E1FCD97" w14:textId="77777777" w:rsidTr="00FC1D48">
        <w:trPr>
          <w:trHeight w:val="62"/>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BE714E"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8.</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780DAC4D"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Pembangunan Lapangan Bulu Tangkis Yayasan Permata Hati Islamic School</w:t>
            </w:r>
          </w:p>
        </w:tc>
        <w:tc>
          <w:tcPr>
            <w:tcW w:w="1984"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3F9806A0"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Dinas Pemuda dan Olahraga</w:t>
            </w: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4642FD52"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2024</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12FCFA6C"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900.000.000</w:t>
            </w:r>
          </w:p>
        </w:tc>
      </w:tr>
      <w:tr w:rsidR="002033A5" w:rsidRPr="00E619C8" w14:paraId="5C831180" w14:textId="77777777" w:rsidTr="00FC1D48">
        <w:trPr>
          <w:trHeight w:val="20"/>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1ED0DA"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9.</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3A3F2179"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Pembangunan Lapangan Futsal (Desa Bengkel)</w:t>
            </w:r>
          </w:p>
        </w:tc>
        <w:tc>
          <w:tcPr>
            <w:tcW w:w="1984" w:type="dxa"/>
            <w:vMerge/>
            <w:tcBorders>
              <w:top w:val="nil"/>
              <w:left w:val="nil"/>
              <w:bottom w:val="single" w:sz="6" w:space="0" w:color="000000"/>
              <w:right w:val="single" w:sz="6" w:space="0" w:color="000000"/>
            </w:tcBorders>
            <w:tcMar>
              <w:top w:w="100" w:type="dxa"/>
              <w:left w:w="100" w:type="dxa"/>
              <w:bottom w:w="100" w:type="dxa"/>
              <w:right w:w="100" w:type="dxa"/>
            </w:tcMar>
          </w:tcPr>
          <w:p w14:paraId="22F3F68D" w14:textId="77777777" w:rsidR="002033A5" w:rsidRPr="00E619C8" w:rsidRDefault="002033A5" w:rsidP="00FC1D48">
            <w:pPr>
              <w:spacing w:after="160"/>
              <w:rPr>
                <w:rFonts w:ascii="Arial" w:eastAsia="Arial" w:hAnsi="Arial" w:cs="Arial"/>
                <w:sz w:val="22"/>
                <w:szCs w:val="22"/>
              </w:rPr>
            </w:pP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04463FAA"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2022</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16051854"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680.065.261</w:t>
            </w:r>
          </w:p>
        </w:tc>
      </w:tr>
      <w:tr w:rsidR="002033A5" w:rsidRPr="00E619C8" w14:paraId="1CF9FA06" w14:textId="77777777" w:rsidTr="00FC1D48">
        <w:trPr>
          <w:trHeight w:val="851"/>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B43442D"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10.</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4E9B42AC"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Belanja Modal Pembangunan Unit Sekolah Baru (USB) SLBN 3 Mataram</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35598F89"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Dinas Pendidikan dan Kebudayaan</w:t>
            </w: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47E44672"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2023</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1B6F6ECA"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8.051.901.000</w:t>
            </w:r>
          </w:p>
        </w:tc>
      </w:tr>
      <w:tr w:rsidR="002033A5" w:rsidRPr="00E619C8" w14:paraId="1DADF2BF" w14:textId="77777777" w:rsidTr="00FC1D48">
        <w:trPr>
          <w:trHeight w:val="834"/>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F98C53"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11.</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4C892551"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Pembangunan Gedung Perpustakaan</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4469741C"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Dinas Perpustakaan dan Kearsipan</w:t>
            </w: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1C982E4A"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2022</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153497BD"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14.163.826.000</w:t>
            </w:r>
          </w:p>
        </w:tc>
      </w:tr>
      <w:tr w:rsidR="002033A5" w:rsidRPr="00E619C8" w14:paraId="2FF5D8F6" w14:textId="77777777" w:rsidTr="00FC1D48">
        <w:trPr>
          <w:trHeight w:val="903"/>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5464EFF"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12.</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65515CA8"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Pengadaan Gedung Kantor BKPH Brang Rea Puncak Ngengas</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7D5C98EE"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Dinas Lingkungan Hidup dan Kehutanan</w:t>
            </w: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6463E4FC"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2022</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6754816B"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447.629.000</w:t>
            </w:r>
          </w:p>
        </w:tc>
      </w:tr>
      <w:tr w:rsidR="002033A5" w:rsidRPr="00E619C8" w14:paraId="2E759513" w14:textId="77777777" w:rsidTr="00FC1D48">
        <w:trPr>
          <w:trHeight w:val="553"/>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912F36"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13.</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2DCCD5ED"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Pembangunan Pasar Seni Senggigi</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2637BE7D"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Dinas Pariwisata</w:t>
            </w: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43938FA3"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2024</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0EFA2BF8"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2.300.000.000</w:t>
            </w:r>
          </w:p>
        </w:tc>
      </w:tr>
      <w:tr w:rsidR="002033A5" w:rsidRPr="00E619C8" w14:paraId="71DE4502" w14:textId="77777777" w:rsidTr="00FC1D48">
        <w:trPr>
          <w:trHeight w:val="627"/>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FE4B46B"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14.</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33EA67C1"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Paket 9: Pal IV - Lenangguar - Batu Rotok</w:t>
            </w:r>
          </w:p>
        </w:tc>
        <w:tc>
          <w:tcPr>
            <w:tcW w:w="1984" w:type="dxa"/>
            <w:vMerge w:val="restart"/>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429B2CC2"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Dinas Pekerjaan Umum dan Penataan Ruang (Bidang Bina Marga)</w:t>
            </w: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5610D98E" w14:textId="4312C82B"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2022</w:t>
            </w:r>
            <w:r w:rsidR="0069703E">
              <w:rPr>
                <w:rFonts w:ascii="Arial" w:eastAsia="Arial" w:hAnsi="Arial" w:cs="Arial"/>
                <w:sz w:val="22"/>
                <w:szCs w:val="22"/>
              </w:rPr>
              <w:t>s</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5F76F693"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93.510.999.000</w:t>
            </w:r>
          </w:p>
        </w:tc>
      </w:tr>
      <w:tr w:rsidR="002033A5" w:rsidRPr="00E619C8" w14:paraId="304A88C4" w14:textId="77777777" w:rsidTr="00FC1D48">
        <w:trPr>
          <w:trHeight w:val="705"/>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0A553C"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15.</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6274D435"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Rekonstruksi Ruas Jalan Tanjung Geres - Pohgading - Pringgabaya</w:t>
            </w:r>
          </w:p>
        </w:tc>
        <w:tc>
          <w:tcPr>
            <w:tcW w:w="1984" w:type="dxa"/>
            <w:vMerge/>
            <w:tcBorders>
              <w:top w:val="nil"/>
              <w:left w:val="nil"/>
              <w:bottom w:val="single" w:sz="6" w:space="0" w:color="000000"/>
              <w:right w:val="single" w:sz="6" w:space="0" w:color="000000"/>
            </w:tcBorders>
            <w:tcMar>
              <w:top w:w="100" w:type="dxa"/>
              <w:left w:w="100" w:type="dxa"/>
              <w:bottom w:w="100" w:type="dxa"/>
              <w:right w:w="100" w:type="dxa"/>
            </w:tcMar>
          </w:tcPr>
          <w:p w14:paraId="36FDE75F" w14:textId="77777777" w:rsidR="002033A5" w:rsidRPr="00E619C8" w:rsidRDefault="002033A5" w:rsidP="00FC1D48">
            <w:pPr>
              <w:spacing w:after="160"/>
              <w:rPr>
                <w:rFonts w:ascii="Arial" w:eastAsia="Arial" w:hAnsi="Arial" w:cs="Arial"/>
                <w:sz w:val="22"/>
                <w:szCs w:val="22"/>
              </w:rPr>
            </w:pP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45A1F37D"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2025</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7106E34A"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26.964.918.389</w:t>
            </w:r>
          </w:p>
        </w:tc>
      </w:tr>
      <w:tr w:rsidR="002033A5" w:rsidRPr="00E619C8" w14:paraId="2D397D6E" w14:textId="77777777" w:rsidTr="00FC1D48">
        <w:trPr>
          <w:trHeight w:val="342"/>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6D9CD9"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16.</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2626FBE9"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Penanganan Long Segment Ruas Jalan Rembiga - Pemenang</w:t>
            </w:r>
          </w:p>
        </w:tc>
        <w:tc>
          <w:tcPr>
            <w:tcW w:w="1984" w:type="dxa"/>
            <w:vMerge/>
            <w:tcBorders>
              <w:top w:val="nil"/>
              <w:left w:val="nil"/>
              <w:bottom w:val="single" w:sz="6" w:space="0" w:color="000000"/>
              <w:right w:val="single" w:sz="6" w:space="0" w:color="000000"/>
            </w:tcBorders>
            <w:tcMar>
              <w:top w:w="100" w:type="dxa"/>
              <w:left w:w="100" w:type="dxa"/>
              <w:bottom w:w="100" w:type="dxa"/>
              <w:right w:w="100" w:type="dxa"/>
            </w:tcMar>
          </w:tcPr>
          <w:p w14:paraId="409AF3A2" w14:textId="77777777" w:rsidR="002033A5" w:rsidRPr="00E619C8" w:rsidRDefault="002033A5" w:rsidP="00FC1D48">
            <w:pPr>
              <w:spacing w:after="160"/>
              <w:rPr>
                <w:rFonts w:ascii="Arial" w:eastAsia="Arial" w:hAnsi="Arial" w:cs="Arial"/>
                <w:sz w:val="22"/>
                <w:szCs w:val="22"/>
              </w:rPr>
            </w:pP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13816D77"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2024</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67511903"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11.800.000.000</w:t>
            </w:r>
          </w:p>
        </w:tc>
      </w:tr>
      <w:tr w:rsidR="002033A5" w:rsidRPr="00E619C8" w14:paraId="34D6E979" w14:textId="77777777" w:rsidTr="00FC1D48">
        <w:trPr>
          <w:trHeight w:val="609"/>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18DA9AC"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17.</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02B2F49E"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Revitalisasi Rumah Produksi Balai Kemasan</w:t>
            </w:r>
          </w:p>
        </w:tc>
        <w:tc>
          <w:tcPr>
            <w:tcW w:w="1984"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265F0FAA"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Dinas Perindustrian</w:t>
            </w: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27E8C46E"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2024</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27C46802"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5.700.000.000</w:t>
            </w:r>
          </w:p>
        </w:tc>
      </w:tr>
      <w:tr w:rsidR="002033A5" w:rsidRPr="00E619C8" w14:paraId="427819E7" w14:textId="77777777" w:rsidTr="00FC1D48">
        <w:trPr>
          <w:trHeight w:val="705"/>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C78B25"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18.</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0931C929"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Pembangunan Ruang Produksi (Gudang) Tembakau</w:t>
            </w:r>
          </w:p>
        </w:tc>
        <w:tc>
          <w:tcPr>
            <w:tcW w:w="1984" w:type="dxa"/>
            <w:vMerge/>
            <w:tcBorders>
              <w:top w:val="nil"/>
              <w:left w:val="nil"/>
              <w:bottom w:val="single" w:sz="6" w:space="0" w:color="000000"/>
              <w:right w:val="single" w:sz="6" w:space="0" w:color="000000"/>
            </w:tcBorders>
            <w:tcMar>
              <w:top w:w="100" w:type="dxa"/>
              <w:left w:w="100" w:type="dxa"/>
              <w:bottom w:w="100" w:type="dxa"/>
              <w:right w:w="100" w:type="dxa"/>
            </w:tcMar>
          </w:tcPr>
          <w:p w14:paraId="55FEDEA5" w14:textId="77777777" w:rsidR="002033A5" w:rsidRPr="00E619C8" w:rsidRDefault="002033A5" w:rsidP="00FC1D48">
            <w:pPr>
              <w:spacing w:after="160"/>
              <w:rPr>
                <w:rFonts w:ascii="Arial" w:eastAsia="Arial" w:hAnsi="Arial" w:cs="Arial"/>
                <w:sz w:val="22"/>
                <w:szCs w:val="22"/>
              </w:rPr>
            </w:pP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2DB034FD"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2022</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5BED879B"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400.658.000</w:t>
            </w:r>
          </w:p>
        </w:tc>
      </w:tr>
      <w:tr w:rsidR="002033A5" w:rsidRPr="00E619C8" w14:paraId="11EE6826" w14:textId="77777777" w:rsidTr="00FC1D48">
        <w:trPr>
          <w:trHeight w:val="705"/>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4868F88"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19.</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093D1B5E"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Pembangunan Kawasan Industri Hasil Tembakau (KIHT)</w:t>
            </w:r>
          </w:p>
        </w:tc>
        <w:tc>
          <w:tcPr>
            <w:tcW w:w="1984"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084F9927"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Dinas Pertanian dan Perkebunan Prov. NTB</w:t>
            </w: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70B322E4"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2022</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234E67BC"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24.756.228.000</w:t>
            </w:r>
          </w:p>
        </w:tc>
      </w:tr>
      <w:tr w:rsidR="002033A5" w:rsidRPr="00E619C8" w14:paraId="5FEE6E90" w14:textId="77777777" w:rsidTr="00FC1D48">
        <w:trPr>
          <w:trHeight w:val="430"/>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21E2CE9"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20.</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5AAD9579"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Pembangunan Laboratorium Agens Hayati</w:t>
            </w:r>
          </w:p>
        </w:tc>
        <w:tc>
          <w:tcPr>
            <w:tcW w:w="1984" w:type="dxa"/>
            <w:vMerge/>
            <w:tcBorders>
              <w:top w:val="nil"/>
              <w:left w:val="nil"/>
              <w:bottom w:val="single" w:sz="6" w:space="0" w:color="000000"/>
              <w:right w:val="single" w:sz="6" w:space="0" w:color="000000"/>
            </w:tcBorders>
            <w:tcMar>
              <w:top w:w="100" w:type="dxa"/>
              <w:left w:w="100" w:type="dxa"/>
              <w:bottom w:w="100" w:type="dxa"/>
              <w:right w:w="100" w:type="dxa"/>
            </w:tcMar>
          </w:tcPr>
          <w:p w14:paraId="504C30F4" w14:textId="77777777" w:rsidR="002033A5" w:rsidRPr="00E619C8" w:rsidRDefault="002033A5" w:rsidP="00FC1D48">
            <w:pPr>
              <w:spacing w:after="160"/>
              <w:rPr>
                <w:rFonts w:ascii="Arial" w:eastAsia="Arial" w:hAnsi="Arial" w:cs="Arial"/>
                <w:sz w:val="22"/>
                <w:szCs w:val="22"/>
              </w:rPr>
            </w:pP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15FEE400"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2023</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6E7D81EE"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1.851.727.000</w:t>
            </w:r>
          </w:p>
        </w:tc>
      </w:tr>
      <w:tr w:rsidR="002033A5" w:rsidRPr="00E619C8" w14:paraId="29C95DFF" w14:textId="77777777" w:rsidTr="00FC1D48">
        <w:trPr>
          <w:trHeight w:val="653"/>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91461C1"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21.</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7DF701FA"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Pembangunan Gedung Perawatan TB dan Paru</w:t>
            </w:r>
          </w:p>
        </w:tc>
        <w:tc>
          <w:tcPr>
            <w:tcW w:w="1984"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0813BDFF"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Rumah Sakit H. L. Manambai Abdul Kadir</w:t>
            </w: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786CA1F2"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2025</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7A8DB799"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5.400.000.000</w:t>
            </w:r>
          </w:p>
        </w:tc>
      </w:tr>
      <w:tr w:rsidR="002033A5" w:rsidRPr="00E619C8" w14:paraId="0EC8C08B" w14:textId="77777777" w:rsidTr="00FC1D48">
        <w:trPr>
          <w:trHeight w:val="408"/>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D27CB64"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22.</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6AB2874E"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Pembangunan Gedung Stroke Center</w:t>
            </w:r>
          </w:p>
        </w:tc>
        <w:tc>
          <w:tcPr>
            <w:tcW w:w="1984" w:type="dxa"/>
            <w:vMerge/>
            <w:tcBorders>
              <w:top w:val="nil"/>
              <w:left w:val="nil"/>
              <w:bottom w:val="single" w:sz="6" w:space="0" w:color="000000"/>
              <w:right w:val="single" w:sz="6" w:space="0" w:color="000000"/>
            </w:tcBorders>
            <w:tcMar>
              <w:top w:w="100" w:type="dxa"/>
              <w:left w:w="100" w:type="dxa"/>
              <w:bottom w:w="100" w:type="dxa"/>
              <w:right w:w="100" w:type="dxa"/>
            </w:tcMar>
          </w:tcPr>
          <w:p w14:paraId="5DFD9C37" w14:textId="77777777" w:rsidR="002033A5" w:rsidRPr="00E619C8" w:rsidRDefault="002033A5" w:rsidP="00FC1D48">
            <w:pPr>
              <w:spacing w:after="160"/>
              <w:rPr>
                <w:rFonts w:ascii="Arial" w:eastAsia="Arial" w:hAnsi="Arial" w:cs="Arial"/>
                <w:sz w:val="22"/>
                <w:szCs w:val="22"/>
              </w:rPr>
            </w:pP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655EE4DC"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2024</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047EC7EF"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1.700.000.000</w:t>
            </w:r>
          </w:p>
        </w:tc>
      </w:tr>
      <w:tr w:rsidR="002033A5" w:rsidRPr="00E619C8" w14:paraId="215690C4" w14:textId="77777777" w:rsidTr="00FC1D48">
        <w:trPr>
          <w:trHeight w:val="720"/>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68F481F"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23.</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01CEACE0"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Bangunan Gedung Kantor (Pembangunan Kantor Samsat Praya)</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70CAB828"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Badan Pengelolaan Pendapatan Daerah Prov. NTB</w:t>
            </w: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2C07CBDF"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2025</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422505A6"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6.204.682.000</w:t>
            </w:r>
          </w:p>
        </w:tc>
      </w:tr>
      <w:tr w:rsidR="002033A5" w:rsidRPr="00E619C8" w14:paraId="13A1FA72" w14:textId="77777777" w:rsidTr="00FC1D48">
        <w:trPr>
          <w:trHeight w:val="563"/>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0FC726B"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24.</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3FBE23BA"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Rehabilitasi Jaringan Irigasi D.I. Daha I, II</w:t>
            </w:r>
          </w:p>
        </w:tc>
        <w:tc>
          <w:tcPr>
            <w:tcW w:w="1984" w:type="dxa"/>
            <w:vMerge w:val="restart"/>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7C6D5A87"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Dinas Pekerjaan Umum dan Penataan Ruang (Bidang Sumber Daya Air)</w:t>
            </w: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0A36E395"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2023</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76C58C3D"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11.385.000.000</w:t>
            </w:r>
          </w:p>
        </w:tc>
      </w:tr>
      <w:tr w:rsidR="002033A5" w:rsidRPr="00E619C8" w14:paraId="07DA5521" w14:textId="77777777" w:rsidTr="00FC1D48">
        <w:trPr>
          <w:trHeight w:val="460"/>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811ABAC"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25.</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68F3D187"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Rehabilitasi Jaringan Irigasi D,I, Rutus (Pulau Lombok)</w:t>
            </w:r>
          </w:p>
        </w:tc>
        <w:tc>
          <w:tcPr>
            <w:tcW w:w="1984" w:type="dxa"/>
            <w:vMerge/>
            <w:tcBorders>
              <w:top w:val="nil"/>
              <w:left w:val="nil"/>
              <w:bottom w:val="single" w:sz="6" w:space="0" w:color="000000"/>
              <w:right w:val="single" w:sz="6" w:space="0" w:color="000000"/>
            </w:tcBorders>
            <w:tcMar>
              <w:top w:w="100" w:type="dxa"/>
              <w:left w:w="100" w:type="dxa"/>
              <w:bottom w:w="100" w:type="dxa"/>
              <w:right w:w="100" w:type="dxa"/>
            </w:tcMar>
          </w:tcPr>
          <w:p w14:paraId="6CBA2565" w14:textId="77777777" w:rsidR="002033A5" w:rsidRPr="00E619C8" w:rsidRDefault="002033A5" w:rsidP="00FC1D48">
            <w:pPr>
              <w:spacing w:after="160"/>
              <w:rPr>
                <w:rFonts w:ascii="Arial" w:eastAsia="Arial" w:hAnsi="Arial" w:cs="Arial"/>
                <w:sz w:val="22"/>
                <w:szCs w:val="22"/>
              </w:rPr>
            </w:pP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3C398F79"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2024</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0741F17F"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5.300.000.000</w:t>
            </w:r>
          </w:p>
        </w:tc>
      </w:tr>
      <w:tr w:rsidR="002033A5" w:rsidRPr="00E619C8" w14:paraId="6B3E095F" w14:textId="77777777" w:rsidTr="00FC1D48">
        <w:trPr>
          <w:trHeight w:val="720"/>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E008B1C"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26.</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55E58CE2"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Pembangunan Jaringan Distribusi SPAM SkPEer Kabupaten Lombok Utara</w:t>
            </w:r>
          </w:p>
        </w:tc>
        <w:tc>
          <w:tcPr>
            <w:tcW w:w="1984" w:type="dxa"/>
            <w:vMerge/>
            <w:tcBorders>
              <w:top w:val="nil"/>
              <w:left w:val="nil"/>
              <w:bottom w:val="single" w:sz="6" w:space="0" w:color="000000"/>
              <w:right w:val="single" w:sz="6" w:space="0" w:color="000000"/>
            </w:tcBorders>
            <w:tcMar>
              <w:top w:w="100" w:type="dxa"/>
              <w:left w:w="100" w:type="dxa"/>
              <w:bottom w:w="100" w:type="dxa"/>
              <w:right w:w="100" w:type="dxa"/>
            </w:tcMar>
          </w:tcPr>
          <w:p w14:paraId="625AA087" w14:textId="77777777" w:rsidR="002033A5" w:rsidRPr="00E619C8" w:rsidRDefault="002033A5" w:rsidP="00FC1D48">
            <w:pPr>
              <w:spacing w:after="160"/>
              <w:rPr>
                <w:rFonts w:ascii="Arial" w:eastAsia="Arial" w:hAnsi="Arial" w:cs="Arial"/>
                <w:sz w:val="22"/>
                <w:szCs w:val="22"/>
              </w:rPr>
            </w:pP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49CD407F"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2025</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62301FBA"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3.985.000.000</w:t>
            </w:r>
          </w:p>
        </w:tc>
      </w:tr>
      <w:tr w:rsidR="002033A5" w:rsidRPr="00E619C8" w14:paraId="0429B098" w14:textId="77777777" w:rsidTr="00FC1D48">
        <w:trPr>
          <w:trHeight w:val="864"/>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5FA6371"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27.</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31C5CF7A"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Paket 72.330 PPSU Kebon Kongok Kec. Gerung Kab. Lombok Barat</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0CB5449B"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Dinas Perumahan dan Permukiman</w:t>
            </w: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21159426"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2025</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53E1453A"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688.150.000</w:t>
            </w:r>
          </w:p>
        </w:tc>
      </w:tr>
      <w:tr w:rsidR="002033A5" w:rsidRPr="00E619C8" w14:paraId="40FCBCA1" w14:textId="77777777" w:rsidTr="00FC1D48">
        <w:trPr>
          <w:trHeight w:val="933"/>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68679F"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28.</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165C25A4"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Pembangunan Lanjutan Gedung IGD Covid-19 &amp; Trauma Center RSUD NTB</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681CC71D"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RSUD NTB</w:t>
            </w: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330F88C4"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2022</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75FE89E3"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77.774.382.000</w:t>
            </w:r>
          </w:p>
        </w:tc>
      </w:tr>
      <w:tr w:rsidR="002033A5" w:rsidRPr="00E619C8" w14:paraId="1280520E" w14:textId="77777777" w:rsidTr="00FC1D48">
        <w:trPr>
          <w:trHeight w:val="705"/>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ADD4D5F"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29.</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56EE0A08"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Bangunan Baru Gedung Rehab Napza Sarana RS</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0503AA8E"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Rumah Sakit Jiwa Mutiara Sukma Provinsi</w:t>
            </w: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78B2AE4C"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2025</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79D599F5"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12.697.561.000</w:t>
            </w:r>
          </w:p>
        </w:tc>
      </w:tr>
      <w:tr w:rsidR="002033A5" w:rsidRPr="00E619C8" w14:paraId="54875873" w14:textId="77777777" w:rsidTr="00FC1D48">
        <w:trPr>
          <w:trHeight w:val="705"/>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FD894E9"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30.</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12D5A6D5"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Pembangunan Gedung Rawat Inap</w:t>
            </w:r>
          </w:p>
        </w:tc>
        <w:tc>
          <w:tcPr>
            <w:tcW w:w="1984" w:type="dxa"/>
            <w:vMerge w:val="restart"/>
            <w:tcBorders>
              <w:top w:val="nil"/>
              <w:left w:val="nil"/>
              <w:bottom w:val="single" w:sz="6" w:space="0" w:color="000000"/>
              <w:right w:val="single" w:sz="6" w:space="0" w:color="000000"/>
            </w:tcBorders>
            <w:tcMar>
              <w:top w:w="0" w:type="dxa"/>
              <w:left w:w="100" w:type="dxa"/>
              <w:bottom w:w="0" w:type="dxa"/>
              <w:right w:w="100" w:type="dxa"/>
            </w:tcMar>
          </w:tcPr>
          <w:p w14:paraId="296DFA58"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Rumah Sakit Mandalika</w:t>
            </w: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7B29C7F3"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2024</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0CE8A825"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12.000.000.000</w:t>
            </w:r>
          </w:p>
        </w:tc>
      </w:tr>
      <w:tr w:rsidR="002033A5" w:rsidRPr="00E619C8" w14:paraId="73B68956" w14:textId="77777777" w:rsidTr="00FC1D48">
        <w:trPr>
          <w:trHeight w:val="342"/>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75918C7"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31.</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601884CD"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Finishing Ruang Rawat Inap RS Mandalika</w:t>
            </w:r>
          </w:p>
        </w:tc>
        <w:tc>
          <w:tcPr>
            <w:tcW w:w="1984" w:type="dxa"/>
            <w:vMerge/>
            <w:tcBorders>
              <w:top w:val="nil"/>
              <w:left w:val="nil"/>
              <w:bottom w:val="single" w:sz="6" w:space="0" w:color="000000"/>
              <w:right w:val="single" w:sz="6" w:space="0" w:color="000000"/>
            </w:tcBorders>
            <w:tcMar>
              <w:top w:w="100" w:type="dxa"/>
              <w:left w:w="100" w:type="dxa"/>
              <w:bottom w:w="100" w:type="dxa"/>
              <w:right w:w="100" w:type="dxa"/>
            </w:tcMar>
          </w:tcPr>
          <w:p w14:paraId="27AB85A4" w14:textId="77777777" w:rsidR="002033A5" w:rsidRPr="00E619C8" w:rsidRDefault="002033A5" w:rsidP="00FC1D48">
            <w:pPr>
              <w:spacing w:after="160"/>
              <w:rPr>
                <w:rFonts w:ascii="Arial" w:eastAsia="Arial" w:hAnsi="Arial" w:cs="Arial"/>
                <w:sz w:val="22"/>
                <w:szCs w:val="22"/>
              </w:rPr>
            </w:pP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7A329DE5"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2022</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02E058AD"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3.457.373.440</w:t>
            </w:r>
          </w:p>
        </w:tc>
      </w:tr>
      <w:tr w:rsidR="002033A5" w:rsidRPr="00E619C8" w14:paraId="5F95A85F" w14:textId="77777777" w:rsidTr="00FC1D48">
        <w:trPr>
          <w:trHeight w:val="1130"/>
        </w:trPr>
        <w:tc>
          <w:tcPr>
            <w:tcW w:w="69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BF93B1"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32.</w:t>
            </w:r>
          </w:p>
        </w:tc>
        <w:tc>
          <w:tcPr>
            <w:tcW w:w="3130" w:type="dxa"/>
            <w:tcBorders>
              <w:top w:val="nil"/>
              <w:left w:val="nil"/>
              <w:bottom w:val="single" w:sz="6" w:space="0" w:color="000000"/>
              <w:right w:val="single" w:sz="6" w:space="0" w:color="000000"/>
            </w:tcBorders>
            <w:tcMar>
              <w:top w:w="0" w:type="dxa"/>
              <w:left w:w="100" w:type="dxa"/>
              <w:bottom w:w="0" w:type="dxa"/>
              <w:right w:w="100" w:type="dxa"/>
            </w:tcMar>
          </w:tcPr>
          <w:p w14:paraId="1C91C9D7"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Belanja Modal Bangunan Gedung Kantor - Renovasi Ruang Komisi</w:t>
            </w:r>
          </w:p>
        </w:tc>
        <w:tc>
          <w:tcPr>
            <w:tcW w:w="1984" w:type="dxa"/>
            <w:tcBorders>
              <w:top w:val="nil"/>
              <w:left w:val="nil"/>
              <w:bottom w:val="single" w:sz="6" w:space="0" w:color="000000"/>
              <w:right w:val="single" w:sz="6" w:space="0" w:color="000000"/>
            </w:tcBorders>
            <w:tcMar>
              <w:top w:w="0" w:type="dxa"/>
              <w:left w:w="100" w:type="dxa"/>
              <w:bottom w:w="0" w:type="dxa"/>
              <w:right w:w="100" w:type="dxa"/>
            </w:tcMar>
          </w:tcPr>
          <w:p w14:paraId="1FF8FD19" w14:textId="77777777" w:rsidR="002033A5" w:rsidRPr="00E619C8" w:rsidRDefault="00E113EC" w:rsidP="00FC1D48">
            <w:pPr>
              <w:rPr>
                <w:rFonts w:ascii="Arial" w:eastAsia="Arial" w:hAnsi="Arial" w:cs="Arial"/>
                <w:sz w:val="22"/>
                <w:szCs w:val="22"/>
              </w:rPr>
            </w:pPr>
            <w:r w:rsidRPr="00E619C8">
              <w:rPr>
                <w:rFonts w:ascii="Arial" w:eastAsia="Arial" w:hAnsi="Arial" w:cs="Arial"/>
                <w:sz w:val="22"/>
                <w:szCs w:val="22"/>
              </w:rPr>
              <w:t>Sekretariat Dewan Perwakilan Rakyat Daerah</w:t>
            </w:r>
          </w:p>
        </w:tc>
        <w:tc>
          <w:tcPr>
            <w:tcW w:w="1096" w:type="dxa"/>
            <w:tcBorders>
              <w:top w:val="nil"/>
              <w:left w:val="nil"/>
              <w:bottom w:val="single" w:sz="6" w:space="0" w:color="000000"/>
              <w:right w:val="single" w:sz="6" w:space="0" w:color="000000"/>
            </w:tcBorders>
            <w:tcMar>
              <w:top w:w="0" w:type="dxa"/>
              <w:left w:w="100" w:type="dxa"/>
              <w:bottom w:w="0" w:type="dxa"/>
              <w:right w:w="100" w:type="dxa"/>
            </w:tcMar>
          </w:tcPr>
          <w:p w14:paraId="2E126034"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2025</w:t>
            </w:r>
          </w:p>
        </w:tc>
        <w:tc>
          <w:tcPr>
            <w:tcW w:w="2130" w:type="dxa"/>
            <w:tcBorders>
              <w:top w:val="nil"/>
              <w:left w:val="nil"/>
              <w:bottom w:val="single" w:sz="6" w:space="0" w:color="000000"/>
              <w:right w:val="single" w:sz="6" w:space="0" w:color="000000"/>
            </w:tcBorders>
            <w:tcMar>
              <w:top w:w="0" w:type="dxa"/>
              <w:left w:w="100" w:type="dxa"/>
              <w:bottom w:w="0" w:type="dxa"/>
              <w:right w:w="100" w:type="dxa"/>
            </w:tcMar>
          </w:tcPr>
          <w:p w14:paraId="1201869B" w14:textId="77777777" w:rsidR="002033A5" w:rsidRPr="00E619C8" w:rsidRDefault="00E113EC" w:rsidP="00EA5AF1">
            <w:pPr>
              <w:jc w:val="right"/>
              <w:rPr>
                <w:rFonts w:ascii="Arial" w:eastAsia="Arial" w:hAnsi="Arial" w:cs="Arial"/>
                <w:sz w:val="22"/>
                <w:szCs w:val="22"/>
              </w:rPr>
            </w:pPr>
            <w:r w:rsidRPr="00E619C8">
              <w:rPr>
                <w:rFonts w:ascii="Arial" w:eastAsia="Arial" w:hAnsi="Arial" w:cs="Arial"/>
                <w:sz w:val="22"/>
                <w:szCs w:val="22"/>
              </w:rPr>
              <w:t>905.762.000</w:t>
            </w:r>
          </w:p>
        </w:tc>
      </w:tr>
      <w:tr w:rsidR="002033A5" w:rsidRPr="00E619C8" w14:paraId="128DF098" w14:textId="77777777" w:rsidTr="00FC1D48">
        <w:trPr>
          <w:trHeight w:val="585"/>
        </w:trPr>
        <w:tc>
          <w:tcPr>
            <w:tcW w:w="5804" w:type="dxa"/>
            <w:gridSpan w:val="3"/>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B6929F8"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Total Budget</w:t>
            </w:r>
          </w:p>
        </w:tc>
        <w:tc>
          <w:tcPr>
            <w:tcW w:w="3226" w:type="dxa"/>
            <w:gridSpan w:val="2"/>
            <w:tcBorders>
              <w:top w:val="nil"/>
              <w:left w:val="nil"/>
              <w:bottom w:val="single" w:sz="6" w:space="0" w:color="000000"/>
              <w:right w:val="single" w:sz="6" w:space="0" w:color="000000"/>
            </w:tcBorders>
            <w:tcMar>
              <w:top w:w="0" w:type="dxa"/>
              <w:left w:w="100" w:type="dxa"/>
              <w:bottom w:w="0" w:type="dxa"/>
              <w:right w:w="100" w:type="dxa"/>
            </w:tcMar>
          </w:tcPr>
          <w:p w14:paraId="5C7BC052" w14:textId="77777777" w:rsidR="002033A5" w:rsidRPr="00E619C8" w:rsidRDefault="00E113EC" w:rsidP="00EA5AF1">
            <w:pPr>
              <w:jc w:val="center"/>
              <w:rPr>
                <w:rFonts w:ascii="Arial" w:eastAsia="Arial" w:hAnsi="Arial" w:cs="Arial"/>
                <w:sz w:val="22"/>
                <w:szCs w:val="22"/>
              </w:rPr>
            </w:pPr>
            <w:r w:rsidRPr="00E619C8">
              <w:rPr>
                <w:rFonts w:ascii="Arial" w:eastAsia="Arial" w:hAnsi="Arial" w:cs="Arial"/>
                <w:sz w:val="22"/>
                <w:szCs w:val="22"/>
              </w:rPr>
              <w:t>Rp. 387.993.653.090</w:t>
            </w:r>
          </w:p>
        </w:tc>
      </w:tr>
    </w:tbl>
    <w:p w14:paraId="6A53B2C9" w14:textId="5A3AABD8" w:rsidR="002033A5" w:rsidRPr="00E619C8" w:rsidRDefault="00DD0F1A" w:rsidP="00FC1D48">
      <w:pPr>
        <w:spacing w:before="240" w:after="160" w:line="300" w:lineRule="auto"/>
        <w:jc w:val="center"/>
        <w:rPr>
          <w:rFonts w:ascii="Arial" w:eastAsia="Arial" w:hAnsi="Arial" w:cs="Arial"/>
        </w:rPr>
      </w:pPr>
      <w:r w:rsidRPr="00E619C8">
        <w:rPr>
          <w:rFonts w:ascii="Arial" w:eastAsia="Arial" w:hAnsi="Arial" w:cs="Arial"/>
          <w:sz w:val="22"/>
          <w:szCs w:val="22"/>
        </w:rPr>
        <w:t>Table 4. List of Infrastructure projects evaluated by PE for 2022-2025</w:t>
      </w:r>
    </w:p>
    <w:p w14:paraId="27FEB25F" w14:textId="77777777" w:rsidR="002033A5" w:rsidRPr="00E619C8" w:rsidRDefault="00E113EC">
      <w:pPr>
        <w:pStyle w:val="Heading2"/>
        <w:pBdr>
          <w:top w:val="nil"/>
          <w:left w:val="nil"/>
          <w:bottom w:val="nil"/>
          <w:right w:val="nil"/>
          <w:between w:val="nil"/>
        </w:pBdr>
        <w:spacing w:before="320" w:after="160" w:line="276" w:lineRule="auto"/>
        <w:jc w:val="both"/>
        <w:rPr>
          <w:rFonts w:ascii="Arial" w:eastAsia="Arial" w:hAnsi="Arial" w:cs="Arial"/>
          <w:b/>
          <w:bCs/>
          <w:color w:val="C00000"/>
          <w:sz w:val="28"/>
          <w:szCs w:val="28"/>
        </w:rPr>
      </w:pPr>
      <w:bookmarkStart w:id="14" w:name="_Toc227235256"/>
      <w:r w:rsidRPr="00E619C8">
        <w:rPr>
          <w:rFonts w:ascii="Arial" w:eastAsia="Arial" w:hAnsi="Arial" w:cs="Arial"/>
          <w:b/>
          <w:bCs/>
          <w:color w:val="C00000"/>
          <w:sz w:val="28"/>
          <w:szCs w:val="28"/>
        </w:rPr>
        <w:t>2.5 Interaction protocol</w:t>
      </w:r>
      <w:bookmarkEnd w:id="14"/>
    </w:p>
    <w:p w14:paraId="710DA8D2" w14:textId="5EE06CB2" w:rsidR="002033A5" w:rsidRPr="00E619C8" w:rsidRDefault="00E113EC" w:rsidP="006D0322">
      <w:pPr>
        <w:spacing w:before="120" w:line="301" w:lineRule="auto"/>
        <w:jc w:val="both"/>
        <w:rPr>
          <w:rFonts w:ascii="Arial" w:eastAsia="Arial" w:hAnsi="Arial" w:cs="Arial"/>
          <w:sz w:val="22"/>
          <w:szCs w:val="22"/>
        </w:rPr>
      </w:pPr>
      <w:r w:rsidRPr="00E619C8">
        <w:rPr>
          <w:rFonts w:ascii="Arial" w:eastAsia="Arial" w:hAnsi="Arial" w:cs="Arial"/>
          <w:sz w:val="22"/>
          <w:szCs w:val="22"/>
        </w:rPr>
        <w:t xml:space="preserve">The following </w:t>
      </w:r>
      <w:r w:rsidR="000F0EBE" w:rsidRPr="00E619C8">
        <w:rPr>
          <w:rFonts w:ascii="Arial" w:eastAsia="Arial" w:hAnsi="Arial" w:cs="Arial"/>
          <w:sz w:val="22"/>
          <w:szCs w:val="22"/>
        </w:rPr>
        <w:t xml:space="preserve">were </w:t>
      </w:r>
      <w:r w:rsidRPr="00E619C8">
        <w:rPr>
          <w:rFonts w:ascii="Arial" w:eastAsia="Arial" w:hAnsi="Arial" w:cs="Arial"/>
          <w:sz w:val="22"/>
          <w:szCs w:val="22"/>
        </w:rPr>
        <w:t>the stages and protocols for interaction with the Procurement Entit</w:t>
      </w:r>
      <w:r w:rsidR="000F0EBE" w:rsidRPr="00E619C8">
        <w:rPr>
          <w:rFonts w:ascii="Arial" w:eastAsia="Arial" w:hAnsi="Arial" w:cs="Arial"/>
          <w:sz w:val="22"/>
          <w:szCs w:val="22"/>
        </w:rPr>
        <w:t>ies</w:t>
      </w:r>
      <w:r w:rsidRPr="00E619C8">
        <w:rPr>
          <w:rFonts w:ascii="Arial" w:eastAsia="Arial" w:hAnsi="Arial" w:cs="Arial"/>
          <w:sz w:val="22"/>
          <w:szCs w:val="22"/>
        </w:rPr>
        <w:t xml:space="preserve"> at each stage of the evaluation process:</w:t>
      </w:r>
    </w:p>
    <w:p w14:paraId="341276FA" w14:textId="7468A431" w:rsidR="002033A5" w:rsidRPr="00E619C8" w:rsidRDefault="00E113EC" w:rsidP="006D0322">
      <w:pPr>
        <w:numPr>
          <w:ilvl w:val="0"/>
          <w:numId w:val="9"/>
        </w:numPr>
        <w:spacing w:before="120" w:line="301" w:lineRule="auto"/>
        <w:ind w:left="709" w:hanging="425"/>
        <w:jc w:val="both"/>
        <w:rPr>
          <w:rFonts w:ascii="Arial" w:eastAsia="Arial" w:hAnsi="Arial" w:cs="Arial"/>
          <w:sz w:val="22"/>
          <w:szCs w:val="22"/>
        </w:rPr>
      </w:pPr>
      <w:r w:rsidRPr="00E619C8">
        <w:rPr>
          <w:rFonts w:ascii="Arial" w:eastAsia="Arial" w:hAnsi="Arial" w:cs="Arial"/>
          <w:sz w:val="22"/>
          <w:szCs w:val="22"/>
        </w:rPr>
        <w:t>In the evaluation process, interaction with the PE</w:t>
      </w:r>
      <w:r w:rsidR="00245ECE" w:rsidRPr="00E619C8">
        <w:rPr>
          <w:rFonts w:ascii="Arial" w:eastAsia="Arial" w:hAnsi="Arial" w:cs="Arial"/>
          <w:sz w:val="22"/>
          <w:szCs w:val="22"/>
        </w:rPr>
        <w:t>s</w:t>
      </w:r>
      <w:r w:rsidRPr="00E619C8">
        <w:rPr>
          <w:rFonts w:ascii="Arial" w:eastAsia="Arial" w:hAnsi="Arial" w:cs="Arial"/>
          <w:sz w:val="22"/>
          <w:szCs w:val="22"/>
        </w:rPr>
        <w:t xml:space="preserve"> beg</w:t>
      </w:r>
      <w:r w:rsidR="000F0EBE" w:rsidRPr="00E619C8">
        <w:rPr>
          <w:rFonts w:ascii="Arial" w:eastAsia="Arial" w:hAnsi="Arial" w:cs="Arial"/>
          <w:sz w:val="22"/>
          <w:szCs w:val="22"/>
        </w:rPr>
        <w:t>an</w:t>
      </w:r>
      <w:r w:rsidRPr="00E619C8">
        <w:rPr>
          <w:rFonts w:ascii="Arial" w:eastAsia="Arial" w:hAnsi="Arial" w:cs="Arial"/>
          <w:sz w:val="22"/>
          <w:szCs w:val="22"/>
        </w:rPr>
        <w:t xml:space="preserve"> by sending an official invitation to participate in the ITI survey and assigning the responsible officer in each agency/department. This survey covers dimensions 2 and 3, </w:t>
      </w:r>
      <w:r w:rsidR="00A05661">
        <w:rPr>
          <w:rFonts w:ascii="Arial" w:eastAsia="Arial" w:hAnsi="Arial" w:cs="Arial"/>
          <w:sz w:val="22"/>
          <w:szCs w:val="22"/>
        </w:rPr>
        <w:t>including questions on</w:t>
      </w:r>
      <w:r w:rsidRPr="00E619C8">
        <w:rPr>
          <w:rFonts w:ascii="Arial" w:eastAsia="Arial" w:hAnsi="Arial" w:cs="Arial"/>
          <w:sz w:val="22"/>
          <w:szCs w:val="22"/>
        </w:rPr>
        <w:t xml:space="preserve"> officer capacity, public participation, information transparency, and the processes involved in the infrastructure project.</w:t>
      </w:r>
    </w:p>
    <w:p w14:paraId="436B23DF" w14:textId="53FBA745" w:rsidR="002033A5" w:rsidRPr="00E619C8" w:rsidRDefault="00E113EC" w:rsidP="006D0322">
      <w:pPr>
        <w:numPr>
          <w:ilvl w:val="0"/>
          <w:numId w:val="9"/>
        </w:numPr>
        <w:pBdr>
          <w:top w:val="nil"/>
          <w:left w:val="nil"/>
          <w:bottom w:val="nil"/>
          <w:right w:val="nil"/>
          <w:between w:val="nil"/>
        </w:pBdr>
        <w:spacing w:line="301" w:lineRule="auto"/>
        <w:ind w:left="709" w:hanging="425"/>
        <w:jc w:val="both"/>
        <w:rPr>
          <w:rFonts w:ascii="Arial" w:eastAsia="Arial" w:hAnsi="Arial" w:cs="Arial"/>
          <w:sz w:val="22"/>
          <w:szCs w:val="22"/>
        </w:rPr>
      </w:pPr>
      <w:r w:rsidRPr="00E619C8">
        <w:rPr>
          <w:rFonts w:ascii="Arial" w:eastAsia="Arial" w:hAnsi="Arial" w:cs="Arial"/>
          <w:sz w:val="22"/>
          <w:szCs w:val="22"/>
        </w:rPr>
        <w:t>The process continue</w:t>
      </w:r>
      <w:r w:rsidR="000F0EBE" w:rsidRPr="00E619C8">
        <w:rPr>
          <w:rFonts w:ascii="Arial" w:eastAsia="Arial" w:hAnsi="Arial" w:cs="Arial"/>
          <w:sz w:val="22"/>
          <w:szCs w:val="22"/>
        </w:rPr>
        <w:t>d</w:t>
      </w:r>
      <w:r w:rsidRPr="00E619C8">
        <w:rPr>
          <w:rFonts w:ascii="Arial" w:eastAsia="Arial" w:hAnsi="Arial" w:cs="Arial"/>
          <w:sz w:val="22"/>
          <w:szCs w:val="22"/>
        </w:rPr>
        <w:t xml:space="preserve"> with a reminder sent to PEs who </w:t>
      </w:r>
      <w:r w:rsidR="000F0EBE" w:rsidRPr="00E619C8">
        <w:rPr>
          <w:rFonts w:ascii="Arial" w:eastAsia="Arial" w:hAnsi="Arial" w:cs="Arial"/>
          <w:sz w:val="22"/>
          <w:szCs w:val="22"/>
        </w:rPr>
        <w:t xml:space="preserve">did </w:t>
      </w:r>
      <w:r w:rsidRPr="00E619C8">
        <w:rPr>
          <w:rFonts w:ascii="Arial" w:eastAsia="Arial" w:hAnsi="Arial" w:cs="Arial"/>
          <w:sz w:val="22"/>
          <w:szCs w:val="22"/>
        </w:rPr>
        <w:t xml:space="preserve">not </w:t>
      </w:r>
      <w:r w:rsidR="006D0322" w:rsidRPr="00E619C8">
        <w:rPr>
          <w:rFonts w:ascii="Arial" w:eastAsia="Arial" w:hAnsi="Arial" w:cs="Arial"/>
          <w:sz w:val="22"/>
          <w:szCs w:val="22"/>
        </w:rPr>
        <w:t>respond</w:t>
      </w:r>
      <w:r w:rsidRPr="00E619C8">
        <w:rPr>
          <w:rFonts w:ascii="Arial" w:eastAsia="Arial" w:hAnsi="Arial" w:cs="Arial"/>
          <w:sz w:val="22"/>
          <w:szCs w:val="22"/>
        </w:rPr>
        <w:t xml:space="preserve"> to the invitation within one week of the survey.</w:t>
      </w:r>
    </w:p>
    <w:p w14:paraId="1E6D6ED9" w14:textId="53B1F943" w:rsidR="006D0322" w:rsidRPr="00E619C8" w:rsidRDefault="00245ECE" w:rsidP="006D0322">
      <w:pPr>
        <w:numPr>
          <w:ilvl w:val="0"/>
          <w:numId w:val="9"/>
        </w:numPr>
        <w:pBdr>
          <w:top w:val="nil"/>
          <w:left w:val="nil"/>
          <w:bottom w:val="nil"/>
          <w:right w:val="nil"/>
          <w:between w:val="nil"/>
        </w:pBdr>
        <w:spacing w:line="301" w:lineRule="auto"/>
        <w:ind w:left="709" w:hanging="425"/>
        <w:jc w:val="both"/>
        <w:rPr>
          <w:rFonts w:ascii="Arial" w:eastAsia="Arial" w:hAnsi="Arial" w:cs="Arial"/>
          <w:sz w:val="22"/>
          <w:szCs w:val="22"/>
        </w:rPr>
      </w:pPr>
      <w:r w:rsidRPr="00E619C8">
        <w:rPr>
          <w:rFonts w:ascii="Arial" w:eastAsia="Arial" w:hAnsi="Arial" w:cs="Arial"/>
          <w:sz w:val="22"/>
          <w:szCs w:val="22"/>
        </w:rPr>
        <w:t>Where the PE respond</w:t>
      </w:r>
      <w:r w:rsidR="000F0EBE" w:rsidRPr="00E619C8">
        <w:rPr>
          <w:rFonts w:ascii="Arial" w:eastAsia="Arial" w:hAnsi="Arial" w:cs="Arial"/>
          <w:sz w:val="22"/>
          <w:szCs w:val="22"/>
        </w:rPr>
        <w:t>ed</w:t>
      </w:r>
      <w:r w:rsidRPr="00E619C8">
        <w:rPr>
          <w:rFonts w:ascii="Arial" w:eastAsia="Arial" w:hAnsi="Arial" w:cs="Arial"/>
          <w:sz w:val="22"/>
          <w:szCs w:val="22"/>
        </w:rPr>
        <w:t xml:space="preserve"> to the invitation, they </w:t>
      </w:r>
      <w:r w:rsidR="006D0322" w:rsidRPr="00E619C8">
        <w:rPr>
          <w:rFonts w:ascii="Arial" w:eastAsia="Arial" w:hAnsi="Arial" w:cs="Arial"/>
          <w:sz w:val="22"/>
          <w:szCs w:val="22"/>
        </w:rPr>
        <w:t>were</w:t>
      </w:r>
      <w:r w:rsidR="000F0EBE" w:rsidRPr="00E619C8">
        <w:rPr>
          <w:rFonts w:ascii="Arial" w:eastAsia="Arial" w:hAnsi="Arial" w:cs="Arial"/>
          <w:sz w:val="22"/>
          <w:szCs w:val="22"/>
        </w:rPr>
        <w:t xml:space="preserve"> </w:t>
      </w:r>
      <w:r w:rsidRPr="00E619C8">
        <w:rPr>
          <w:rFonts w:ascii="Arial" w:eastAsia="Arial" w:hAnsi="Arial" w:cs="Arial"/>
          <w:sz w:val="22"/>
          <w:szCs w:val="22"/>
        </w:rPr>
        <w:t>given a survey form and</w:t>
      </w:r>
      <w:r w:rsidR="000F0EBE" w:rsidRPr="00E619C8">
        <w:rPr>
          <w:rFonts w:ascii="Arial" w:eastAsia="Arial" w:hAnsi="Arial" w:cs="Arial"/>
          <w:sz w:val="22"/>
          <w:szCs w:val="22"/>
        </w:rPr>
        <w:t xml:space="preserve"> were</w:t>
      </w:r>
      <w:r w:rsidRPr="00E619C8">
        <w:rPr>
          <w:rFonts w:ascii="Arial" w:eastAsia="Arial" w:hAnsi="Arial" w:cs="Arial"/>
          <w:sz w:val="22"/>
          <w:szCs w:val="22"/>
        </w:rPr>
        <w:t xml:space="preserve"> asked to complete it according to the provided guidelines within one week.</w:t>
      </w:r>
      <w:r w:rsidR="006D0322" w:rsidRPr="00E619C8">
        <w:rPr>
          <w:rFonts w:ascii="Arial" w:eastAsia="Arial" w:hAnsi="Arial" w:cs="Arial"/>
          <w:sz w:val="22"/>
          <w:szCs w:val="22"/>
        </w:rPr>
        <w:t xml:space="preserve">  </w:t>
      </w:r>
    </w:p>
    <w:p w14:paraId="6A170FB4" w14:textId="3C88B778" w:rsidR="002033A5" w:rsidRPr="00E619C8" w:rsidRDefault="00245ECE" w:rsidP="006D0322">
      <w:pPr>
        <w:numPr>
          <w:ilvl w:val="0"/>
          <w:numId w:val="9"/>
        </w:numPr>
        <w:pBdr>
          <w:top w:val="nil"/>
          <w:left w:val="nil"/>
          <w:bottom w:val="nil"/>
          <w:right w:val="nil"/>
          <w:between w:val="nil"/>
        </w:pBdr>
        <w:spacing w:line="301" w:lineRule="auto"/>
        <w:ind w:left="709" w:hanging="425"/>
        <w:jc w:val="both"/>
        <w:rPr>
          <w:rFonts w:ascii="Arial" w:eastAsia="Arial" w:hAnsi="Arial" w:cs="Arial"/>
          <w:sz w:val="22"/>
          <w:szCs w:val="22"/>
        </w:rPr>
      </w:pPr>
      <w:r w:rsidRPr="00E619C8">
        <w:rPr>
          <w:rFonts w:ascii="Arial" w:eastAsia="Arial" w:hAnsi="Arial" w:cs="Arial"/>
          <w:sz w:val="22"/>
          <w:szCs w:val="22"/>
        </w:rPr>
        <w:t>And in instances where the PE experience</w:t>
      </w:r>
      <w:r w:rsidR="000F0EBE" w:rsidRPr="00E619C8">
        <w:rPr>
          <w:rFonts w:ascii="Arial" w:eastAsia="Arial" w:hAnsi="Arial" w:cs="Arial"/>
          <w:sz w:val="22"/>
          <w:szCs w:val="22"/>
        </w:rPr>
        <w:t>d</w:t>
      </w:r>
      <w:r w:rsidRPr="00E619C8">
        <w:rPr>
          <w:rFonts w:ascii="Arial" w:eastAsia="Arial" w:hAnsi="Arial" w:cs="Arial"/>
          <w:sz w:val="22"/>
          <w:szCs w:val="22"/>
        </w:rPr>
        <w:t xml:space="preserve"> a delay or </w:t>
      </w:r>
      <w:r w:rsidR="000F0EBE" w:rsidRPr="00E619C8">
        <w:rPr>
          <w:rFonts w:ascii="Arial" w:eastAsia="Arial" w:hAnsi="Arial" w:cs="Arial"/>
          <w:sz w:val="22"/>
          <w:szCs w:val="22"/>
        </w:rPr>
        <w:t xml:space="preserve">did </w:t>
      </w:r>
      <w:r w:rsidRPr="00E619C8">
        <w:rPr>
          <w:rFonts w:ascii="Arial" w:eastAsia="Arial" w:hAnsi="Arial" w:cs="Arial"/>
          <w:sz w:val="22"/>
          <w:szCs w:val="22"/>
        </w:rPr>
        <w:t xml:space="preserve">not respond within the specified time </w:t>
      </w:r>
      <w:r w:rsidR="00827BC9" w:rsidRPr="00E619C8">
        <w:rPr>
          <w:rFonts w:ascii="Arial" w:eastAsia="Arial" w:hAnsi="Arial" w:cs="Arial"/>
          <w:sz w:val="22"/>
          <w:szCs w:val="22"/>
        </w:rPr>
        <w:t>limit</w:t>
      </w:r>
      <w:r w:rsidR="00475BFD">
        <w:rPr>
          <w:rFonts w:ascii="Arial" w:eastAsia="Arial" w:hAnsi="Arial" w:cs="Arial"/>
          <w:sz w:val="22"/>
          <w:szCs w:val="22"/>
        </w:rPr>
        <w:t>, the next step was sending a reminder letter and making</w:t>
      </w:r>
      <w:r w:rsidRPr="00E619C8">
        <w:rPr>
          <w:rFonts w:ascii="Arial" w:eastAsia="Arial" w:hAnsi="Arial" w:cs="Arial"/>
          <w:sz w:val="22"/>
          <w:szCs w:val="22"/>
        </w:rPr>
        <w:t xml:space="preserve"> further communication efforts to facilitate participation.</w:t>
      </w:r>
    </w:p>
    <w:p w14:paraId="11C24EED" w14:textId="35E2FC9E" w:rsidR="002033A5" w:rsidRPr="00E619C8" w:rsidRDefault="00E113EC" w:rsidP="006D0322">
      <w:pPr>
        <w:pBdr>
          <w:top w:val="nil"/>
          <w:left w:val="nil"/>
          <w:bottom w:val="nil"/>
          <w:right w:val="nil"/>
          <w:between w:val="nil"/>
        </w:pBdr>
        <w:spacing w:before="240" w:line="300" w:lineRule="auto"/>
        <w:jc w:val="both"/>
        <w:rPr>
          <w:rFonts w:ascii="Arial" w:eastAsia="Arial" w:hAnsi="Arial" w:cs="Arial"/>
          <w:color w:val="C00000"/>
          <w:sz w:val="22"/>
          <w:szCs w:val="22"/>
        </w:rPr>
      </w:pPr>
      <w:r w:rsidRPr="00E619C8">
        <w:rPr>
          <w:rFonts w:ascii="Arial" w:eastAsia="Arial" w:hAnsi="Arial" w:cs="Arial"/>
          <w:color w:val="C00000"/>
          <w:sz w:val="22"/>
          <w:szCs w:val="22"/>
        </w:rPr>
        <w:t>PEs Who Did Not Complete the ITI Survey:</w:t>
      </w:r>
    </w:p>
    <w:p w14:paraId="665A881A" w14:textId="2BEE41DE" w:rsidR="002033A5" w:rsidRPr="00E619C8" w:rsidRDefault="00E113EC" w:rsidP="006D0322">
      <w:pPr>
        <w:spacing w:before="120" w:line="301" w:lineRule="auto"/>
        <w:jc w:val="both"/>
        <w:rPr>
          <w:rFonts w:ascii="Arial" w:eastAsia="Arial" w:hAnsi="Arial" w:cs="Arial"/>
          <w:sz w:val="22"/>
          <w:szCs w:val="22"/>
        </w:rPr>
      </w:pPr>
      <w:r w:rsidRPr="00E619C8">
        <w:rPr>
          <w:rFonts w:ascii="Arial" w:eastAsia="Arial" w:hAnsi="Arial" w:cs="Arial"/>
          <w:sz w:val="22"/>
          <w:szCs w:val="22"/>
        </w:rPr>
        <w:t xml:space="preserve">Although efforts were made to invite and engage </w:t>
      </w:r>
      <w:r w:rsidR="00475BFD">
        <w:rPr>
          <w:rFonts w:ascii="Arial" w:eastAsia="Arial" w:hAnsi="Arial" w:cs="Arial"/>
          <w:sz w:val="22"/>
          <w:szCs w:val="22"/>
        </w:rPr>
        <w:t>PEs, at times they</w:t>
      </w:r>
      <w:r w:rsidRPr="00E619C8">
        <w:rPr>
          <w:rFonts w:ascii="Arial" w:eastAsia="Arial" w:hAnsi="Arial" w:cs="Arial"/>
          <w:sz w:val="22"/>
          <w:szCs w:val="22"/>
        </w:rPr>
        <w:t xml:space="preserve"> were unable or unwilling to complete the ITI survey.</w:t>
      </w:r>
    </w:p>
    <w:p w14:paraId="3A243B84" w14:textId="63F33B27" w:rsidR="002033A5" w:rsidRPr="00E619C8" w:rsidRDefault="00827BC9" w:rsidP="006D0322">
      <w:pPr>
        <w:pBdr>
          <w:top w:val="nil"/>
          <w:left w:val="nil"/>
          <w:bottom w:val="nil"/>
          <w:right w:val="nil"/>
          <w:between w:val="nil"/>
        </w:pBdr>
        <w:spacing w:before="120" w:line="301" w:lineRule="auto"/>
        <w:jc w:val="both"/>
        <w:rPr>
          <w:rFonts w:ascii="Arial" w:eastAsia="Arial" w:hAnsi="Arial" w:cs="Arial"/>
          <w:sz w:val="22"/>
          <w:szCs w:val="22"/>
        </w:rPr>
      </w:pPr>
      <w:r w:rsidRPr="00E619C8">
        <w:rPr>
          <w:rFonts w:ascii="Arial" w:eastAsia="Arial" w:hAnsi="Arial" w:cs="Arial"/>
          <w:sz w:val="22"/>
          <w:szCs w:val="22"/>
        </w:rPr>
        <w:t>The nonresponsive PEs were engaged through the following process</w:t>
      </w:r>
      <w:r w:rsidR="000F0EBE" w:rsidRPr="00E619C8">
        <w:rPr>
          <w:rFonts w:ascii="Arial" w:eastAsia="Arial" w:hAnsi="Arial" w:cs="Arial"/>
          <w:sz w:val="22"/>
          <w:szCs w:val="22"/>
        </w:rPr>
        <w:t>:</w:t>
      </w:r>
    </w:p>
    <w:p w14:paraId="1B0C0A47" w14:textId="053128BB" w:rsidR="002033A5" w:rsidRPr="00E619C8" w:rsidRDefault="00E113EC" w:rsidP="006D0322">
      <w:pPr>
        <w:numPr>
          <w:ilvl w:val="0"/>
          <w:numId w:val="26"/>
        </w:numPr>
        <w:pBdr>
          <w:top w:val="nil"/>
          <w:left w:val="nil"/>
          <w:bottom w:val="nil"/>
          <w:right w:val="nil"/>
          <w:between w:val="nil"/>
        </w:pBdr>
        <w:spacing w:before="120" w:line="301" w:lineRule="auto"/>
        <w:ind w:left="709" w:hanging="425"/>
        <w:jc w:val="both"/>
        <w:rPr>
          <w:rFonts w:ascii="Arial" w:eastAsia="Arial" w:hAnsi="Arial" w:cs="Arial"/>
          <w:sz w:val="22"/>
          <w:szCs w:val="22"/>
        </w:rPr>
      </w:pPr>
      <w:r w:rsidRPr="00E619C8">
        <w:rPr>
          <w:rFonts w:ascii="Arial" w:eastAsia="Arial" w:hAnsi="Arial" w:cs="Arial"/>
          <w:sz w:val="22"/>
          <w:szCs w:val="22"/>
        </w:rPr>
        <w:t xml:space="preserve">In cases of late or unresponsive PEs, additional communication efforts were made to facilitate participation. This included sending further reminder letters, emails, WhatsApp messages, or phone calls </w:t>
      </w:r>
      <w:r w:rsidR="00255550" w:rsidRPr="00E619C8">
        <w:rPr>
          <w:rFonts w:ascii="Arial" w:eastAsia="Arial" w:hAnsi="Arial" w:cs="Arial"/>
          <w:sz w:val="22"/>
          <w:szCs w:val="22"/>
        </w:rPr>
        <w:t>where</w:t>
      </w:r>
      <w:r w:rsidRPr="00E619C8">
        <w:rPr>
          <w:rFonts w:ascii="Arial" w:eastAsia="Arial" w:hAnsi="Arial" w:cs="Arial"/>
          <w:sz w:val="22"/>
          <w:szCs w:val="22"/>
        </w:rPr>
        <w:t xml:space="preserve"> the PE's contact information was available.</w:t>
      </w:r>
    </w:p>
    <w:p w14:paraId="37F2F8AC" w14:textId="6771A41C" w:rsidR="002033A5" w:rsidRPr="00E619C8" w:rsidRDefault="00E113EC" w:rsidP="006D0322">
      <w:pPr>
        <w:numPr>
          <w:ilvl w:val="0"/>
          <w:numId w:val="26"/>
        </w:numPr>
        <w:pBdr>
          <w:top w:val="nil"/>
          <w:left w:val="nil"/>
          <w:bottom w:val="nil"/>
          <w:right w:val="nil"/>
          <w:between w:val="nil"/>
        </w:pBdr>
        <w:spacing w:line="301" w:lineRule="auto"/>
        <w:ind w:left="709" w:hanging="425"/>
        <w:jc w:val="both"/>
        <w:rPr>
          <w:rFonts w:ascii="Arial" w:eastAsia="Arial" w:hAnsi="Arial" w:cs="Arial"/>
          <w:sz w:val="22"/>
          <w:szCs w:val="22"/>
        </w:rPr>
      </w:pPr>
      <w:r w:rsidRPr="00E619C8">
        <w:rPr>
          <w:rFonts w:ascii="Arial" w:eastAsia="Arial" w:hAnsi="Arial" w:cs="Arial"/>
          <w:sz w:val="22"/>
          <w:szCs w:val="22"/>
        </w:rPr>
        <w:t xml:space="preserve">Throughout the communication process, the importance of their participation in the evaluation was </w:t>
      </w:r>
      <w:r w:rsidR="00475BFD">
        <w:rPr>
          <w:rFonts w:ascii="Arial" w:eastAsia="Arial" w:hAnsi="Arial" w:cs="Arial"/>
          <w:sz w:val="22"/>
          <w:szCs w:val="22"/>
        </w:rPr>
        <w:t>emphasised</w:t>
      </w:r>
      <w:r w:rsidRPr="00E619C8">
        <w:rPr>
          <w:rFonts w:ascii="Arial" w:eastAsia="Arial" w:hAnsi="Arial" w:cs="Arial"/>
          <w:sz w:val="22"/>
          <w:szCs w:val="22"/>
        </w:rPr>
        <w:t xml:space="preserve"> to increase transparency in the infrastructure sector.</w:t>
      </w:r>
    </w:p>
    <w:p w14:paraId="7F3A9EC5" w14:textId="6C66A198" w:rsidR="002033A5" w:rsidRPr="00E619C8" w:rsidRDefault="00E113EC" w:rsidP="006D0322">
      <w:pPr>
        <w:numPr>
          <w:ilvl w:val="0"/>
          <w:numId w:val="26"/>
        </w:numPr>
        <w:pBdr>
          <w:top w:val="nil"/>
          <w:left w:val="nil"/>
          <w:bottom w:val="nil"/>
          <w:right w:val="nil"/>
          <w:between w:val="nil"/>
        </w:pBdr>
        <w:spacing w:line="301" w:lineRule="auto"/>
        <w:ind w:left="709" w:hanging="425"/>
        <w:jc w:val="both"/>
        <w:rPr>
          <w:rFonts w:ascii="Arial" w:eastAsia="Arial" w:hAnsi="Arial" w:cs="Arial"/>
          <w:sz w:val="22"/>
          <w:szCs w:val="22"/>
        </w:rPr>
      </w:pPr>
      <w:r w:rsidRPr="00E619C8">
        <w:rPr>
          <w:rFonts w:ascii="Arial" w:eastAsia="Arial" w:hAnsi="Arial" w:cs="Arial"/>
          <w:sz w:val="22"/>
          <w:szCs w:val="22"/>
        </w:rPr>
        <w:t>A final warning was given via an official letter from the West Nusa Tenggara Province FLLAJ, acting as the CoST</w:t>
      </w:r>
      <w:r w:rsidR="00255550" w:rsidRPr="00E619C8">
        <w:rPr>
          <w:rFonts w:ascii="Arial" w:eastAsia="Arial" w:hAnsi="Arial" w:cs="Arial"/>
          <w:sz w:val="22"/>
          <w:szCs w:val="22"/>
        </w:rPr>
        <w:t xml:space="preserve"> Host institution and Chair</w:t>
      </w:r>
      <w:r w:rsidRPr="00E619C8">
        <w:rPr>
          <w:rFonts w:ascii="Arial" w:eastAsia="Arial" w:hAnsi="Arial" w:cs="Arial"/>
          <w:sz w:val="22"/>
          <w:szCs w:val="22"/>
        </w:rPr>
        <w:t xml:space="preserve"> for West Nusa Tenggara.</w:t>
      </w:r>
    </w:p>
    <w:p w14:paraId="56268066" w14:textId="1FB8C933" w:rsidR="002033A5" w:rsidRPr="00E619C8" w:rsidRDefault="00E113EC" w:rsidP="006D0322">
      <w:pPr>
        <w:numPr>
          <w:ilvl w:val="0"/>
          <w:numId w:val="26"/>
        </w:numPr>
        <w:pBdr>
          <w:top w:val="nil"/>
          <w:left w:val="nil"/>
          <w:bottom w:val="nil"/>
          <w:right w:val="nil"/>
          <w:between w:val="nil"/>
        </w:pBdr>
        <w:spacing w:line="301" w:lineRule="auto"/>
        <w:ind w:left="709" w:hanging="425"/>
        <w:jc w:val="both"/>
        <w:rPr>
          <w:rFonts w:ascii="Arial" w:eastAsia="Arial" w:hAnsi="Arial" w:cs="Arial"/>
          <w:sz w:val="22"/>
          <w:szCs w:val="22"/>
        </w:rPr>
      </w:pPr>
      <w:r w:rsidRPr="00E619C8">
        <w:rPr>
          <w:rFonts w:ascii="Arial" w:eastAsia="Arial" w:hAnsi="Arial" w:cs="Arial"/>
          <w:sz w:val="22"/>
          <w:szCs w:val="22"/>
        </w:rPr>
        <w:t xml:space="preserve">Positively, </w:t>
      </w:r>
      <w:r w:rsidR="000F0EBE" w:rsidRPr="00E619C8">
        <w:rPr>
          <w:rFonts w:ascii="Arial" w:eastAsia="Arial" w:hAnsi="Arial" w:cs="Arial"/>
          <w:sz w:val="22"/>
          <w:szCs w:val="22"/>
        </w:rPr>
        <w:t xml:space="preserve">after </w:t>
      </w:r>
      <w:r w:rsidR="006D0322" w:rsidRPr="00E619C8">
        <w:rPr>
          <w:rFonts w:ascii="Arial" w:eastAsia="Arial" w:hAnsi="Arial" w:cs="Arial"/>
          <w:sz w:val="22"/>
          <w:szCs w:val="22"/>
        </w:rPr>
        <w:t>these efforts</w:t>
      </w:r>
      <w:r w:rsidR="000F0EBE" w:rsidRPr="00E619C8">
        <w:rPr>
          <w:rFonts w:ascii="Arial" w:eastAsia="Arial" w:hAnsi="Arial" w:cs="Arial"/>
          <w:sz w:val="22"/>
          <w:szCs w:val="22"/>
        </w:rPr>
        <w:t xml:space="preserve">, </w:t>
      </w:r>
      <w:r w:rsidRPr="00E619C8">
        <w:rPr>
          <w:rFonts w:ascii="Arial" w:eastAsia="Arial" w:hAnsi="Arial" w:cs="Arial"/>
          <w:sz w:val="22"/>
          <w:szCs w:val="22"/>
        </w:rPr>
        <w:t>all PEs successfully completed the survey.</w:t>
      </w:r>
    </w:p>
    <w:p w14:paraId="1E18B7F3" w14:textId="77777777" w:rsidR="002033A5" w:rsidRPr="00E619C8" w:rsidRDefault="00E113EC">
      <w:pPr>
        <w:pStyle w:val="Heading2"/>
        <w:pBdr>
          <w:top w:val="nil"/>
          <w:left w:val="nil"/>
          <w:bottom w:val="nil"/>
          <w:right w:val="nil"/>
          <w:between w:val="nil"/>
        </w:pBdr>
        <w:spacing w:before="320" w:after="160" w:line="276" w:lineRule="auto"/>
        <w:jc w:val="both"/>
        <w:rPr>
          <w:rFonts w:ascii="Arial" w:eastAsia="Arial" w:hAnsi="Arial" w:cs="Arial"/>
          <w:sz w:val="22"/>
          <w:szCs w:val="22"/>
        </w:rPr>
      </w:pPr>
      <w:bookmarkStart w:id="15" w:name="_Toc227235257"/>
      <w:r w:rsidRPr="00E619C8">
        <w:rPr>
          <w:rFonts w:ascii="Arial" w:eastAsia="Arial" w:hAnsi="Arial" w:cs="Arial"/>
          <w:b/>
          <w:bCs/>
          <w:color w:val="C00000"/>
          <w:sz w:val="28"/>
          <w:szCs w:val="28"/>
        </w:rPr>
        <w:t>2.6 Challenges and limitations</w:t>
      </w:r>
      <w:bookmarkEnd w:id="15"/>
      <w:r w:rsidRPr="00E619C8">
        <w:rPr>
          <w:rFonts w:ascii="Arial" w:eastAsia="Arial" w:hAnsi="Arial" w:cs="Arial"/>
          <w:b/>
          <w:bCs/>
          <w:color w:val="C00000"/>
          <w:sz w:val="28"/>
          <w:szCs w:val="28"/>
        </w:rPr>
        <w:t xml:space="preserve"> </w:t>
      </w:r>
    </w:p>
    <w:p w14:paraId="3555B886" w14:textId="77777777" w:rsidR="002033A5" w:rsidRPr="00E619C8" w:rsidRDefault="00E113EC" w:rsidP="006D0322">
      <w:pPr>
        <w:spacing w:before="120" w:line="301" w:lineRule="auto"/>
        <w:jc w:val="both"/>
        <w:rPr>
          <w:rFonts w:ascii="Arial" w:eastAsia="Arial" w:hAnsi="Arial" w:cs="Arial"/>
          <w:sz w:val="22"/>
          <w:szCs w:val="22"/>
        </w:rPr>
      </w:pPr>
      <w:r w:rsidRPr="00E619C8">
        <w:rPr>
          <w:rFonts w:ascii="Arial" w:eastAsia="Arial" w:hAnsi="Arial" w:cs="Arial"/>
          <w:sz w:val="22"/>
          <w:szCs w:val="22"/>
        </w:rPr>
        <w:t>Some of the challenges and limitations faced during the survey include the following:</w:t>
      </w:r>
    </w:p>
    <w:p w14:paraId="3494BEF4" w14:textId="77777777" w:rsidR="002033A5" w:rsidRPr="00E619C8" w:rsidRDefault="00E113EC" w:rsidP="00B21013">
      <w:pPr>
        <w:numPr>
          <w:ilvl w:val="0"/>
          <w:numId w:val="15"/>
        </w:numPr>
        <w:spacing w:before="240" w:after="120" w:line="300" w:lineRule="auto"/>
        <w:ind w:left="709" w:hanging="425"/>
        <w:jc w:val="both"/>
        <w:rPr>
          <w:rFonts w:ascii="Arial" w:eastAsia="Arial" w:hAnsi="Arial" w:cs="Arial"/>
          <w:sz w:val="22"/>
          <w:szCs w:val="22"/>
        </w:rPr>
      </w:pPr>
      <w:r w:rsidRPr="00E619C8">
        <w:rPr>
          <w:rFonts w:ascii="Arial" w:eastAsia="Arial" w:hAnsi="Arial" w:cs="Arial"/>
          <w:sz w:val="22"/>
          <w:szCs w:val="22"/>
        </w:rPr>
        <w:t>Selecting PEs:</w:t>
      </w:r>
    </w:p>
    <w:p w14:paraId="496E5B0D" w14:textId="603FAE0B" w:rsidR="002033A5" w:rsidRPr="00E619C8" w:rsidRDefault="00E113EC" w:rsidP="006D0322">
      <w:pPr>
        <w:spacing w:before="120" w:line="301" w:lineRule="auto"/>
        <w:jc w:val="both"/>
        <w:rPr>
          <w:rFonts w:ascii="Arial" w:eastAsia="Arial" w:hAnsi="Arial" w:cs="Arial"/>
          <w:sz w:val="22"/>
          <w:szCs w:val="22"/>
        </w:rPr>
      </w:pPr>
      <w:r w:rsidRPr="00E619C8">
        <w:rPr>
          <w:rFonts w:ascii="Arial" w:eastAsia="Arial" w:hAnsi="Arial" w:cs="Arial"/>
          <w:sz w:val="22"/>
          <w:szCs w:val="22"/>
        </w:rPr>
        <w:t xml:space="preserve">One of the criteria for selecting PEs is the availability of data. There are several variations related to this data. Almost all existing PEs have data related to the infrastructure projects they manage. However, this data is not fully entered or uploaded to the available websites. Almost all </w:t>
      </w:r>
      <w:r w:rsidR="00255550" w:rsidRPr="00E619C8">
        <w:rPr>
          <w:rFonts w:ascii="Arial" w:eastAsia="Arial" w:hAnsi="Arial" w:cs="Arial"/>
          <w:sz w:val="22"/>
          <w:szCs w:val="22"/>
        </w:rPr>
        <w:t xml:space="preserve">entities </w:t>
      </w:r>
      <w:r w:rsidRPr="00E619C8">
        <w:rPr>
          <w:rFonts w:ascii="Arial" w:eastAsia="Arial" w:hAnsi="Arial" w:cs="Arial"/>
          <w:sz w:val="22"/>
          <w:szCs w:val="22"/>
        </w:rPr>
        <w:t xml:space="preserve">do not include complete data on </w:t>
      </w:r>
      <w:r w:rsidR="00475BFD">
        <w:rPr>
          <w:rFonts w:ascii="Arial" w:eastAsia="Arial" w:hAnsi="Arial" w:cs="Arial"/>
          <w:sz w:val="22"/>
          <w:szCs w:val="22"/>
        </w:rPr>
        <w:t>their</w:t>
      </w:r>
      <w:r w:rsidRPr="00E619C8">
        <w:rPr>
          <w:rFonts w:ascii="Arial" w:eastAsia="Arial" w:hAnsi="Arial" w:cs="Arial"/>
          <w:sz w:val="22"/>
          <w:szCs w:val="22"/>
        </w:rPr>
        <w:t xml:space="preserve"> websites. Some </w:t>
      </w:r>
      <w:r w:rsidR="00475BFD">
        <w:rPr>
          <w:rFonts w:ascii="Arial" w:eastAsia="Arial" w:hAnsi="Arial" w:cs="Arial"/>
          <w:sz w:val="22"/>
          <w:szCs w:val="22"/>
        </w:rPr>
        <w:t xml:space="preserve">do not even include the </w:t>
      </w:r>
      <w:r w:rsidRPr="00E619C8">
        <w:rPr>
          <w:rFonts w:ascii="Arial" w:eastAsia="Arial" w:hAnsi="Arial" w:cs="Arial"/>
          <w:sz w:val="22"/>
          <w:szCs w:val="22"/>
        </w:rPr>
        <w:t>data required by the ITI. This is one of the main challenges in PE selection: limited available data. Some PEs may not have complete or up-to-date data, preventing researchers from conducting a more comprehensive evaluation.</w:t>
      </w:r>
    </w:p>
    <w:p w14:paraId="29A7D558" w14:textId="77777777" w:rsidR="002033A5" w:rsidRPr="00E619C8" w:rsidRDefault="00E113EC" w:rsidP="00B21013">
      <w:pPr>
        <w:numPr>
          <w:ilvl w:val="0"/>
          <w:numId w:val="15"/>
        </w:numPr>
        <w:pBdr>
          <w:top w:val="nil"/>
          <w:left w:val="nil"/>
          <w:bottom w:val="nil"/>
          <w:right w:val="nil"/>
          <w:between w:val="nil"/>
        </w:pBdr>
        <w:spacing w:before="240" w:after="120" w:line="300" w:lineRule="auto"/>
        <w:ind w:left="709" w:hanging="425"/>
        <w:jc w:val="both"/>
        <w:rPr>
          <w:rFonts w:ascii="Arial" w:eastAsia="Arial" w:hAnsi="Arial" w:cs="Arial"/>
          <w:sz w:val="22"/>
          <w:szCs w:val="22"/>
        </w:rPr>
      </w:pPr>
      <w:r w:rsidRPr="00E619C8">
        <w:rPr>
          <w:rFonts w:ascii="Arial" w:eastAsia="Arial" w:hAnsi="Arial" w:cs="Arial"/>
          <w:sz w:val="22"/>
          <w:szCs w:val="22"/>
        </w:rPr>
        <w:t>Infrastructure Projects:</w:t>
      </w:r>
    </w:p>
    <w:p w14:paraId="26B05FB8" w14:textId="1136D5F1" w:rsidR="002033A5" w:rsidRPr="00E619C8" w:rsidRDefault="00E113EC" w:rsidP="006D0322">
      <w:pPr>
        <w:pBdr>
          <w:top w:val="nil"/>
          <w:left w:val="nil"/>
          <w:bottom w:val="nil"/>
          <w:right w:val="nil"/>
          <w:between w:val="nil"/>
        </w:pBdr>
        <w:spacing w:before="120" w:line="301" w:lineRule="auto"/>
        <w:jc w:val="both"/>
        <w:rPr>
          <w:rFonts w:ascii="Arial" w:eastAsia="Arial" w:hAnsi="Arial" w:cs="Arial"/>
          <w:sz w:val="22"/>
          <w:szCs w:val="22"/>
        </w:rPr>
      </w:pPr>
      <w:r w:rsidRPr="00E619C8">
        <w:rPr>
          <w:rFonts w:ascii="Arial" w:eastAsia="Arial" w:hAnsi="Arial" w:cs="Arial"/>
          <w:sz w:val="22"/>
          <w:szCs w:val="22"/>
        </w:rPr>
        <w:t xml:space="preserve">The availability of data also hampers the selection of infrastructure projects for sampling. This situation results in the selection of relevant infrastructure projects that </w:t>
      </w:r>
      <w:r w:rsidR="00AA05AB">
        <w:rPr>
          <w:rFonts w:ascii="Arial" w:eastAsia="Arial" w:hAnsi="Arial" w:cs="Arial"/>
          <w:sz w:val="22"/>
          <w:szCs w:val="22"/>
        </w:rPr>
        <w:t>do not support optimal evaluations of transparency</w:t>
      </w:r>
      <w:r w:rsidRPr="00E619C8">
        <w:rPr>
          <w:rFonts w:ascii="Arial" w:eastAsia="Arial" w:hAnsi="Arial" w:cs="Arial"/>
          <w:sz w:val="22"/>
          <w:szCs w:val="22"/>
        </w:rPr>
        <w:t>. Infrastructure projects selected as samples are based solely on available data (incomplete</w:t>
      </w:r>
      <w:r w:rsidR="00AA05AB">
        <w:rPr>
          <w:rFonts w:ascii="Arial" w:eastAsia="Arial" w:hAnsi="Arial" w:cs="Arial"/>
          <w:sz w:val="22"/>
          <w:szCs w:val="22"/>
        </w:rPr>
        <w:t>,</w:t>
      </w:r>
      <w:r w:rsidRPr="00E619C8">
        <w:rPr>
          <w:rFonts w:ascii="Arial" w:eastAsia="Arial" w:hAnsi="Arial" w:cs="Arial"/>
          <w:sz w:val="22"/>
          <w:szCs w:val="22"/>
        </w:rPr>
        <w:t xml:space="preserve"> and some data is inaccessible).</w:t>
      </w:r>
    </w:p>
    <w:p w14:paraId="5754EC03" w14:textId="77777777" w:rsidR="002033A5" w:rsidRPr="00E619C8" w:rsidRDefault="00E113EC" w:rsidP="00B21013">
      <w:pPr>
        <w:numPr>
          <w:ilvl w:val="0"/>
          <w:numId w:val="15"/>
        </w:numPr>
        <w:pBdr>
          <w:top w:val="nil"/>
          <w:left w:val="nil"/>
          <w:bottom w:val="nil"/>
          <w:right w:val="nil"/>
          <w:between w:val="nil"/>
        </w:pBdr>
        <w:spacing w:before="240" w:after="120" w:line="300" w:lineRule="auto"/>
        <w:ind w:left="709" w:hanging="425"/>
        <w:jc w:val="both"/>
        <w:rPr>
          <w:rFonts w:ascii="Arial" w:eastAsia="Arial" w:hAnsi="Arial" w:cs="Arial"/>
          <w:sz w:val="22"/>
          <w:szCs w:val="22"/>
        </w:rPr>
      </w:pPr>
      <w:r w:rsidRPr="00E619C8">
        <w:rPr>
          <w:rFonts w:ascii="Arial" w:eastAsia="Arial" w:hAnsi="Arial" w:cs="Arial"/>
          <w:sz w:val="22"/>
          <w:szCs w:val="22"/>
        </w:rPr>
        <w:t>PE Support:</w:t>
      </w:r>
    </w:p>
    <w:p w14:paraId="6FEF0495" w14:textId="7246B585" w:rsidR="002033A5" w:rsidRPr="00933440" w:rsidRDefault="00E113EC" w:rsidP="006D0322">
      <w:pPr>
        <w:pBdr>
          <w:top w:val="nil"/>
          <w:left w:val="nil"/>
          <w:bottom w:val="nil"/>
          <w:right w:val="nil"/>
          <w:between w:val="nil"/>
        </w:pBdr>
        <w:spacing w:before="120" w:line="301" w:lineRule="auto"/>
        <w:jc w:val="both"/>
        <w:rPr>
          <w:rFonts w:ascii="Arial" w:eastAsia="Arial" w:hAnsi="Arial" w:cs="Arial"/>
          <w:sz w:val="22"/>
          <w:szCs w:val="22"/>
          <w:lang w:val="en-US"/>
        </w:rPr>
      </w:pPr>
      <w:r w:rsidRPr="00E619C8">
        <w:rPr>
          <w:rFonts w:ascii="Arial" w:eastAsia="Arial" w:hAnsi="Arial" w:cs="Arial"/>
          <w:sz w:val="22"/>
          <w:szCs w:val="22"/>
        </w:rPr>
        <w:t>Policymakers in several PEs, including those at lower levels, lack</w:t>
      </w:r>
      <w:r w:rsidR="009E752B" w:rsidRPr="00E619C8">
        <w:rPr>
          <w:rFonts w:ascii="Arial" w:eastAsia="Arial" w:hAnsi="Arial" w:cs="Arial"/>
          <w:sz w:val="22"/>
          <w:szCs w:val="22"/>
        </w:rPr>
        <w:t>ed</w:t>
      </w:r>
      <w:r w:rsidRPr="00E619C8">
        <w:rPr>
          <w:rFonts w:ascii="Arial" w:eastAsia="Arial" w:hAnsi="Arial" w:cs="Arial"/>
          <w:sz w:val="22"/>
          <w:szCs w:val="22"/>
        </w:rPr>
        <w:t xml:space="preserve"> sufficient understanding of the objectives of the evaluation/survey. </w:t>
      </w:r>
      <w:r w:rsidR="001719FF">
        <w:rPr>
          <w:rFonts w:ascii="Arial" w:eastAsia="Arial" w:hAnsi="Arial" w:cs="Arial"/>
          <w:sz w:val="22"/>
          <w:szCs w:val="22"/>
        </w:rPr>
        <w:t>This resulted from c</w:t>
      </w:r>
      <w:r w:rsidR="001719FF" w:rsidRPr="001719FF">
        <w:rPr>
          <w:rFonts w:ascii="Arial" w:eastAsia="Arial" w:hAnsi="Arial" w:cs="Arial"/>
          <w:sz w:val="22"/>
          <w:szCs w:val="22"/>
          <w:lang w:val="en-US"/>
        </w:rPr>
        <w:t xml:space="preserve">hanges in Department/Division Heads within the provincial government </w:t>
      </w:r>
      <w:r w:rsidR="001719FF">
        <w:rPr>
          <w:rFonts w:ascii="Arial" w:eastAsia="Arial" w:hAnsi="Arial" w:cs="Arial"/>
          <w:sz w:val="22"/>
          <w:szCs w:val="22"/>
          <w:lang w:val="en-US"/>
        </w:rPr>
        <w:t xml:space="preserve">that </w:t>
      </w:r>
      <w:r w:rsidR="00933440" w:rsidRPr="001719FF">
        <w:rPr>
          <w:rFonts w:ascii="Arial" w:eastAsia="Arial" w:hAnsi="Arial" w:cs="Arial"/>
          <w:sz w:val="22"/>
          <w:szCs w:val="22"/>
          <w:lang w:val="en-US"/>
        </w:rPr>
        <w:t>occur</w:t>
      </w:r>
      <w:r w:rsidR="00933440">
        <w:rPr>
          <w:rFonts w:ascii="Arial" w:eastAsia="Arial" w:hAnsi="Arial" w:cs="Arial"/>
          <w:sz w:val="22"/>
          <w:szCs w:val="22"/>
          <w:lang w:val="en-US"/>
        </w:rPr>
        <w:t>red</w:t>
      </w:r>
      <w:r w:rsidR="001719FF" w:rsidRPr="001719FF">
        <w:rPr>
          <w:rFonts w:ascii="Arial" w:eastAsia="Arial" w:hAnsi="Arial" w:cs="Arial"/>
          <w:sz w:val="22"/>
          <w:szCs w:val="22"/>
          <w:lang w:val="en-US"/>
        </w:rPr>
        <w:t xml:space="preserve"> </w:t>
      </w:r>
      <w:r w:rsidR="00D11E77">
        <w:rPr>
          <w:rFonts w:ascii="Arial" w:eastAsia="Arial" w:hAnsi="Arial" w:cs="Arial"/>
          <w:sz w:val="22"/>
          <w:szCs w:val="22"/>
          <w:lang w:val="en-US"/>
        </w:rPr>
        <w:t>over a short period</w:t>
      </w:r>
      <w:r w:rsidR="001719FF" w:rsidRPr="001719FF">
        <w:rPr>
          <w:rFonts w:ascii="Arial" w:eastAsia="Arial" w:hAnsi="Arial" w:cs="Arial"/>
          <w:sz w:val="22"/>
          <w:szCs w:val="22"/>
          <w:lang w:val="en-US"/>
        </w:rPr>
        <w:t>. Some of these changes occurred during the study. One effect was that the appointment of officers responsible for the study within that office was also hampered</w:t>
      </w:r>
      <w:r w:rsidR="00933440">
        <w:rPr>
          <w:rFonts w:ascii="Arial" w:eastAsia="Arial" w:hAnsi="Arial" w:cs="Arial"/>
          <w:sz w:val="22"/>
          <w:szCs w:val="22"/>
          <w:lang w:val="en-US"/>
        </w:rPr>
        <w:t xml:space="preserve">. </w:t>
      </w:r>
      <w:r w:rsidR="001719FF" w:rsidRPr="001719FF">
        <w:rPr>
          <w:rFonts w:ascii="Arial" w:eastAsia="Arial" w:hAnsi="Arial" w:cs="Arial"/>
          <w:sz w:val="22"/>
          <w:szCs w:val="22"/>
          <w:lang w:val="en-US"/>
        </w:rPr>
        <w:t xml:space="preserve">While workshops and similar activities were held prior to the study, some officers had already changed during the study. </w:t>
      </w:r>
      <w:r w:rsidR="00933440">
        <w:rPr>
          <w:rFonts w:ascii="Arial" w:eastAsia="Arial" w:hAnsi="Arial" w:cs="Arial"/>
          <w:sz w:val="22"/>
          <w:szCs w:val="22"/>
          <w:lang w:val="en-US"/>
        </w:rPr>
        <w:t>Several</w:t>
      </w:r>
      <w:r w:rsidR="001719FF" w:rsidRPr="001719FF">
        <w:rPr>
          <w:rFonts w:ascii="Arial" w:eastAsia="Arial" w:hAnsi="Arial" w:cs="Arial"/>
          <w:sz w:val="22"/>
          <w:szCs w:val="22"/>
          <w:lang w:val="en-US"/>
        </w:rPr>
        <w:t xml:space="preserve"> office</w:t>
      </w:r>
      <w:r w:rsidR="00933440">
        <w:rPr>
          <w:rFonts w:ascii="Arial" w:eastAsia="Arial" w:hAnsi="Arial" w:cs="Arial"/>
          <w:sz w:val="22"/>
          <w:szCs w:val="22"/>
          <w:lang w:val="en-US"/>
        </w:rPr>
        <w:t>s</w:t>
      </w:r>
      <w:r w:rsidR="001719FF" w:rsidRPr="001719FF">
        <w:rPr>
          <w:rFonts w:ascii="Arial" w:eastAsia="Arial" w:hAnsi="Arial" w:cs="Arial"/>
          <w:sz w:val="22"/>
          <w:szCs w:val="22"/>
          <w:lang w:val="en-US"/>
        </w:rPr>
        <w:t xml:space="preserve"> appointed </w:t>
      </w:r>
      <w:r w:rsidR="00933440">
        <w:rPr>
          <w:rFonts w:ascii="Arial" w:eastAsia="Arial" w:hAnsi="Arial" w:cs="Arial"/>
          <w:sz w:val="22"/>
          <w:szCs w:val="22"/>
          <w:lang w:val="en-US"/>
        </w:rPr>
        <w:t>new staff</w:t>
      </w:r>
      <w:r w:rsidR="001719FF" w:rsidRPr="001719FF">
        <w:rPr>
          <w:rFonts w:ascii="Arial" w:eastAsia="Arial" w:hAnsi="Arial" w:cs="Arial"/>
          <w:sz w:val="22"/>
          <w:szCs w:val="22"/>
          <w:lang w:val="en-US"/>
        </w:rPr>
        <w:t xml:space="preserve"> to be responsible for the study</w:t>
      </w:r>
      <w:r w:rsidR="00D11E77">
        <w:rPr>
          <w:rFonts w:ascii="Arial" w:eastAsia="Arial" w:hAnsi="Arial" w:cs="Arial"/>
          <w:sz w:val="22"/>
          <w:szCs w:val="22"/>
          <w:lang w:val="en-US"/>
        </w:rPr>
        <w:t>,</w:t>
      </w:r>
      <w:r w:rsidR="00933440">
        <w:rPr>
          <w:rFonts w:ascii="Arial" w:eastAsia="Arial" w:hAnsi="Arial" w:cs="Arial"/>
          <w:sz w:val="22"/>
          <w:szCs w:val="22"/>
          <w:lang w:val="en-US"/>
        </w:rPr>
        <w:t xml:space="preserve"> who had limited knowledge about the ITI and CoST. </w:t>
      </w:r>
      <w:r w:rsidRPr="00E619C8">
        <w:rPr>
          <w:rFonts w:ascii="Arial" w:eastAsia="Arial" w:hAnsi="Arial" w:cs="Arial"/>
          <w:sz w:val="22"/>
          <w:szCs w:val="22"/>
        </w:rPr>
        <w:t>This require</w:t>
      </w:r>
      <w:r w:rsidR="009E752B" w:rsidRPr="00E619C8">
        <w:rPr>
          <w:rFonts w:ascii="Arial" w:eastAsia="Arial" w:hAnsi="Arial" w:cs="Arial"/>
          <w:sz w:val="22"/>
          <w:szCs w:val="22"/>
        </w:rPr>
        <w:t>d</w:t>
      </w:r>
      <w:r w:rsidRPr="00E619C8">
        <w:rPr>
          <w:rFonts w:ascii="Arial" w:eastAsia="Arial" w:hAnsi="Arial" w:cs="Arial"/>
          <w:sz w:val="22"/>
          <w:szCs w:val="22"/>
        </w:rPr>
        <w:t xml:space="preserve"> researchers to set aside time to meet, discuss, and re-explain the survey to be conducted, especially with the PE </w:t>
      </w:r>
      <w:r w:rsidR="00D11E77">
        <w:rPr>
          <w:rFonts w:ascii="Arial" w:eastAsia="Arial" w:hAnsi="Arial" w:cs="Arial"/>
          <w:sz w:val="22"/>
          <w:szCs w:val="22"/>
        </w:rPr>
        <w:t>policyholders</w:t>
      </w:r>
      <w:r w:rsidRPr="00E619C8">
        <w:rPr>
          <w:rFonts w:ascii="Arial" w:eastAsia="Arial" w:hAnsi="Arial" w:cs="Arial"/>
          <w:sz w:val="22"/>
          <w:szCs w:val="22"/>
        </w:rPr>
        <w:t xml:space="preserve">. Full support </w:t>
      </w:r>
      <w:r w:rsidR="000F0EBE" w:rsidRPr="00E619C8">
        <w:rPr>
          <w:rFonts w:ascii="Arial" w:eastAsia="Arial" w:hAnsi="Arial" w:cs="Arial"/>
          <w:sz w:val="22"/>
          <w:szCs w:val="22"/>
        </w:rPr>
        <w:t xml:space="preserve">would </w:t>
      </w:r>
      <w:r w:rsidR="009B42F1" w:rsidRPr="00E619C8">
        <w:rPr>
          <w:rFonts w:ascii="Arial" w:eastAsia="Arial" w:hAnsi="Arial" w:cs="Arial"/>
          <w:sz w:val="22"/>
          <w:szCs w:val="22"/>
        </w:rPr>
        <w:t xml:space="preserve">have </w:t>
      </w:r>
      <w:r w:rsidRPr="00E619C8">
        <w:rPr>
          <w:rFonts w:ascii="Arial" w:eastAsia="Arial" w:hAnsi="Arial" w:cs="Arial"/>
          <w:sz w:val="22"/>
          <w:szCs w:val="22"/>
        </w:rPr>
        <w:t>be</w:t>
      </w:r>
      <w:r w:rsidR="009B42F1" w:rsidRPr="00E619C8">
        <w:rPr>
          <w:rFonts w:ascii="Arial" w:eastAsia="Arial" w:hAnsi="Arial" w:cs="Arial"/>
          <w:sz w:val="22"/>
          <w:szCs w:val="22"/>
        </w:rPr>
        <w:t>en</w:t>
      </w:r>
      <w:r w:rsidRPr="00E619C8">
        <w:rPr>
          <w:rFonts w:ascii="Arial" w:eastAsia="Arial" w:hAnsi="Arial" w:cs="Arial"/>
          <w:sz w:val="22"/>
          <w:szCs w:val="22"/>
        </w:rPr>
        <w:t xml:space="preserve"> provided if the </w:t>
      </w:r>
      <w:r w:rsidR="00D11E77">
        <w:rPr>
          <w:rFonts w:ascii="Arial" w:eastAsia="Arial" w:hAnsi="Arial" w:cs="Arial"/>
          <w:sz w:val="22"/>
          <w:szCs w:val="22"/>
        </w:rPr>
        <w:t>policyholders</w:t>
      </w:r>
      <w:r w:rsidRPr="00E619C8">
        <w:rPr>
          <w:rFonts w:ascii="Arial" w:eastAsia="Arial" w:hAnsi="Arial" w:cs="Arial"/>
          <w:sz w:val="22"/>
          <w:szCs w:val="22"/>
        </w:rPr>
        <w:t xml:space="preserve"> ha</w:t>
      </w:r>
      <w:r w:rsidR="009E752B" w:rsidRPr="00E619C8">
        <w:rPr>
          <w:rFonts w:ascii="Arial" w:eastAsia="Arial" w:hAnsi="Arial" w:cs="Arial"/>
          <w:sz w:val="22"/>
          <w:szCs w:val="22"/>
        </w:rPr>
        <w:t>d</w:t>
      </w:r>
      <w:r w:rsidRPr="00E619C8">
        <w:rPr>
          <w:rFonts w:ascii="Arial" w:eastAsia="Arial" w:hAnsi="Arial" w:cs="Arial"/>
          <w:sz w:val="22"/>
          <w:szCs w:val="22"/>
        </w:rPr>
        <w:t xml:space="preserve"> a comprehensive understanding of the survey.</w:t>
      </w:r>
    </w:p>
    <w:p w14:paraId="3F8FABA2" w14:textId="77777777" w:rsidR="002033A5" w:rsidRPr="00E619C8" w:rsidRDefault="00E113EC" w:rsidP="00B21013">
      <w:pPr>
        <w:numPr>
          <w:ilvl w:val="0"/>
          <w:numId w:val="15"/>
        </w:numPr>
        <w:pBdr>
          <w:top w:val="nil"/>
          <w:left w:val="nil"/>
          <w:bottom w:val="nil"/>
          <w:right w:val="nil"/>
          <w:between w:val="nil"/>
        </w:pBdr>
        <w:spacing w:before="240" w:after="120" w:line="300" w:lineRule="auto"/>
        <w:ind w:left="709" w:hanging="425"/>
        <w:jc w:val="both"/>
        <w:rPr>
          <w:rFonts w:ascii="Arial" w:eastAsia="Arial" w:hAnsi="Arial" w:cs="Arial"/>
          <w:sz w:val="22"/>
          <w:szCs w:val="22"/>
        </w:rPr>
      </w:pPr>
      <w:r w:rsidRPr="00E619C8">
        <w:rPr>
          <w:rFonts w:ascii="Arial" w:eastAsia="Arial" w:hAnsi="Arial" w:cs="Arial"/>
          <w:sz w:val="22"/>
          <w:szCs w:val="22"/>
        </w:rPr>
        <w:t>Determining Responsible Officers in Each Agency</w:t>
      </w:r>
    </w:p>
    <w:p w14:paraId="7B4830FD" w14:textId="1DAEB657" w:rsidR="009E752B" w:rsidRPr="00E619C8" w:rsidRDefault="00E113EC" w:rsidP="006D0322">
      <w:pPr>
        <w:pBdr>
          <w:top w:val="nil"/>
          <w:left w:val="nil"/>
          <w:bottom w:val="nil"/>
          <w:right w:val="nil"/>
          <w:between w:val="nil"/>
        </w:pBdr>
        <w:spacing w:before="120" w:line="301" w:lineRule="auto"/>
        <w:jc w:val="both"/>
        <w:rPr>
          <w:rFonts w:ascii="Arial" w:eastAsia="Arial" w:hAnsi="Arial" w:cs="Arial"/>
          <w:sz w:val="22"/>
          <w:szCs w:val="22"/>
        </w:rPr>
      </w:pPr>
      <w:r w:rsidRPr="00E619C8">
        <w:rPr>
          <w:rFonts w:ascii="Arial" w:eastAsia="Arial" w:hAnsi="Arial" w:cs="Arial"/>
          <w:sz w:val="22"/>
          <w:szCs w:val="22"/>
        </w:rPr>
        <w:t>Determining responsible officers in each agency presents significant challenges. Some agencies/agencies even replace</w:t>
      </w:r>
      <w:r w:rsidR="009B42F1" w:rsidRPr="00E619C8">
        <w:rPr>
          <w:rFonts w:ascii="Arial" w:eastAsia="Arial" w:hAnsi="Arial" w:cs="Arial"/>
          <w:sz w:val="22"/>
          <w:szCs w:val="22"/>
        </w:rPr>
        <w:t>d</w:t>
      </w:r>
      <w:r w:rsidRPr="00E619C8">
        <w:rPr>
          <w:rFonts w:ascii="Arial" w:eastAsia="Arial" w:hAnsi="Arial" w:cs="Arial"/>
          <w:sz w:val="22"/>
          <w:szCs w:val="22"/>
        </w:rPr>
        <w:t xml:space="preserve"> their officers after the survey </w:t>
      </w:r>
      <w:r w:rsidR="0010409B">
        <w:rPr>
          <w:rFonts w:ascii="Arial" w:eastAsia="Arial" w:hAnsi="Arial" w:cs="Arial"/>
          <w:sz w:val="22"/>
          <w:szCs w:val="22"/>
        </w:rPr>
        <w:t>had been</w:t>
      </w:r>
      <w:r w:rsidRPr="00E619C8">
        <w:rPr>
          <w:rFonts w:ascii="Arial" w:eastAsia="Arial" w:hAnsi="Arial" w:cs="Arial"/>
          <w:sz w:val="22"/>
          <w:szCs w:val="22"/>
        </w:rPr>
        <w:t xml:space="preserve"> running for some time. Some select</w:t>
      </w:r>
      <w:r w:rsidR="009B42F1" w:rsidRPr="00E619C8">
        <w:rPr>
          <w:rFonts w:ascii="Arial" w:eastAsia="Arial" w:hAnsi="Arial" w:cs="Arial"/>
          <w:sz w:val="22"/>
          <w:szCs w:val="22"/>
        </w:rPr>
        <w:t>ed</w:t>
      </w:r>
      <w:r w:rsidRPr="00E619C8">
        <w:rPr>
          <w:rFonts w:ascii="Arial" w:eastAsia="Arial" w:hAnsi="Arial" w:cs="Arial"/>
          <w:sz w:val="22"/>
          <w:szCs w:val="22"/>
        </w:rPr>
        <w:t xml:space="preserve"> officers </w:t>
      </w:r>
      <w:r w:rsidR="0010409B">
        <w:rPr>
          <w:rFonts w:ascii="Arial" w:eastAsia="Arial" w:hAnsi="Arial" w:cs="Arial"/>
          <w:sz w:val="22"/>
          <w:szCs w:val="22"/>
        </w:rPr>
        <w:t xml:space="preserve">were inappropriate and lacked a </w:t>
      </w:r>
      <w:r w:rsidRPr="00E619C8">
        <w:rPr>
          <w:rFonts w:ascii="Arial" w:eastAsia="Arial" w:hAnsi="Arial" w:cs="Arial"/>
          <w:sz w:val="22"/>
          <w:szCs w:val="22"/>
        </w:rPr>
        <w:t xml:space="preserve">thorough understanding of the survey. Some selected officers </w:t>
      </w:r>
      <w:r w:rsidR="0010409B">
        <w:rPr>
          <w:rFonts w:ascii="Arial" w:eastAsia="Arial" w:hAnsi="Arial" w:cs="Arial"/>
          <w:sz w:val="22"/>
          <w:szCs w:val="22"/>
        </w:rPr>
        <w:t>who did not attend the previous ITI training/socialisation</w:t>
      </w:r>
      <w:r w:rsidRPr="00E619C8">
        <w:rPr>
          <w:rFonts w:ascii="Arial" w:eastAsia="Arial" w:hAnsi="Arial" w:cs="Arial"/>
          <w:sz w:val="22"/>
          <w:szCs w:val="22"/>
        </w:rPr>
        <w:t xml:space="preserve">. However, these challenges </w:t>
      </w:r>
      <w:r w:rsidR="009B42F1" w:rsidRPr="00E619C8">
        <w:rPr>
          <w:rFonts w:ascii="Arial" w:eastAsia="Arial" w:hAnsi="Arial" w:cs="Arial"/>
          <w:sz w:val="22"/>
          <w:szCs w:val="22"/>
        </w:rPr>
        <w:t xml:space="preserve">were </w:t>
      </w:r>
      <w:r w:rsidR="006D0322" w:rsidRPr="00E619C8">
        <w:rPr>
          <w:rFonts w:ascii="Arial" w:eastAsia="Arial" w:hAnsi="Arial" w:cs="Arial"/>
          <w:sz w:val="22"/>
          <w:szCs w:val="22"/>
        </w:rPr>
        <w:t>overcome</w:t>
      </w:r>
      <w:r w:rsidRPr="00E619C8">
        <w:rPr>
          <w:rFonts w:ascii="Arial" w:eastAsia="Arial" w:hAnsi="Arial" w:cs="Arial"/>
          <w:sz w:val="22"/>
          <w:szCs w:val="22"/>
        </w:rPr>
        <w:t xml:space="preserve"> by re-explaining </w:t>
      </w:r>
      <w:r w:rsidR="0010409B">
        <w:rPr>
          <w:rFonts w:ascii="Arial" w:eastAsia="Arial" w:hAnsi="Arial" w:cs="Arial"/>
          <w:sz w:val="22"/>
          <w:szCs w:val="22"/>
        </w:rPr>
        <w:t>to the selected officers what the ITI and the survey will be, and how they will be conducted</w:t>
      </w:r>
      <w:r w:rsidRPr="00E619C8">
        <w:rPr>
          <w:rFonts w:ascii="Arial" w:eastAsia="Arial" w:hAnsi="Arial" w:cs="Arial"/>
          <w:sz w:val="22"/>
          <w:szCs w:val="22"/>
        </w:rPr>
        <w:t>.</w:t>
      </w:r>
    </w:p>
    <w:p w14:paraId="09B22C7E" w14:textId="77777777" w:rsidR="002033A5" w:rsidRPr="00E619C8" w:rsidRDefault="00E113EC" w:rsidP="00B21013">
      <w:pPr>
        <w:numPr>
          <w:ilvl w:val="0"/>
          <w:numId w:val="15"/>
        </w:numPr>
        <w:pBdr>
          <w:top w:val="nil"/>
          <w:left w:val="nil"/>
          <w:bottom w:val="nil"/>
          <w:right w:val="nil"/>
          <w:between w:val="nil"/>
        </w:pBdr>
        <w:spacing w:before="240" w:after="120" w:line="300" w:lineRule="auto"/>
        <w:ind w:left="709" w:hanging="425"/>
        <w:jc w:val="both"/>
        <w:rPr>
          <w:rFonts w:ascii="Arial" w:eastAsia="Arial" w:hAnsi="Arial" w:cs="Arial"/>
          <w:sz w:val="22"/>
          <w:szCs w:val="22"/>
        </w:rPr>
      </w:pPr>
      <w:r w:rsidRPr="00E619C8">
        <w:rPr>
          <w:rFonts w:ascii="Arial" w:eastAsia="Arial" w:hAnsi="Arial" w:cs="Arial"/>
          <w:sz w:val="22"/>
          <w:szCs w:val="22"/>
        </w:rPr>
        <w:t>Survey Completion by PEs:</w:t>
      </w:r>
    </w:p>
    <w:p w14:paraId="13618F9B" w14:textId="26272967" w:rsidR="002033A5" w:rsidRPr="00E619C8" w:rsidRDefault="00E113EC" w:rsidP="006D0322">
      <w:pPr>
        <w:pBdr>
          <w:top w:val="nil"/>
          <w:left w:val="nil"/>
          <w:bottom w:val="nil"/>
          <w:right w:val="nil"/>
          <w:between w:val="nil"/>
        </w:pBdr>
        <w:spacing w:before="120" w:line="301" w:lineRule="auto"/>
        <w:jc w:val="both"/>
        <w:rPr>
          <w:rFonts w:ascii="Arial" w:eastAsia="Arial" w:hAnsi="Arial" w:cs="Arial"/>
          <w:sz w:val="22"/>
          <w:szCs w:val="22"/>
        </w:rPr>
      </w:pPr>
      <w:r w:rsidRPr="00E619C8">
        <w:rPr>
          <w:rFonts w:ascii="Arial" w:eastAsia="Arial" w:hAnsi="Arial" w:cs="Arial"/>
          <w:sz w:val="22"/>
          <w:szCs w:val="22"/>
        </w:rPr>
        <w:t xml:space="preserve">Survey Complexity: ITI surveys </w:t>
      </w:r>
      <w:r w:rsidR="0010409B">
        <w:rPr>
          <w:rFonts w:ascii="Arial" w:eastAsia="Arial" w:hAnsi="Arial" w:cs="Arial"/>
          <w:sz w:val="22"/>
          <w:szCs w:val="22"/>
        </w:rPr>
        <w:t xml:space="preserve">include questions that require details or information requests for some PEs, which can slow </w:t>
      </w:r>
      <w:r w:rsidR="00BC0963">
        <w:rPr>
          <w:rFonts w:ascii="Arial" w:eastAsia="Arial" w:hAnsi="Arial" w:cs="Arial"/>
          <w:sz w:val="22"/>
          <w:szCs w:val="22"/>
        </w:rPr>
        <w:t>completion</w:t>
      </w:r>
      <w:r w:rsidRPr="00E619C8">
        <w:rPr>
          <w:rFonts w:ascii="Arial" w:eastAsia="Arial" w:hAnsi="Arial" w:cs="Arial"/>
          <w:sz w:val="22"/>
          <w:szCs w:val="22"/>
        </w:rPr>
        <w:t>. Detailed questions on the survey form often require officers to re-ask for items to be completed. In these situations, the evaluator/researcher t</w:t>
      </w:r>
      <w:r w:rsidR="00A513D2" w:rsidRPr="00E619C8">
        <w:rPr>
          <w:rFonts w:ascii="Arial" w:eastAsia="Arial" w:hAnsi="Arial" w:cs="Arial"/>
          <w:sz w:val="22"/>
          <w:szCs w:val="22"/>
        </w:rPr>
        <w:t>ook</w:t>
      </w:r>
      <w:r w:rsidRPr="00E619C8">
        <w:rPr>
          <w:rFonts w:ascii="Arial" w:eastAsia="Arial" w:hAnsi="Arial" w:cs="Arial"/>
          <w:sz w:val="22"/>
          <w:szCs w:val="22"/>
        </w:rPr>
        <w:t xml:space="preserve"> on the role of discussing this with the responsible officers in the agencies.</w:t>
      </w:r>
    </w:p>
    <w:p w14:paraId="5FC02D63" w14:textId="77777777" w:rsidR="002033A5" w:rsidRPr="00E619C8" w:rsidRDefault="00E113EC" w:rsidP="00B21013">
      <w:pPr>
        <w:numPr>
          <w:ilvl w:val="0"/>
          <w:numId w:val="15"/>
        </w:numPr>
        <w:pBdr>
          <w:top w:val="nil"/>
          <w:left w:val="nil"/>
          <w:bottom w:val="nil"/>
          <w:right w:val="nil"/>
          <w:between w:val="nil"/>
        </w:pBdr>
        <w:spacing w:before="240" w:after="120" w:line="300" w:lineRule="auto"/>
        <w:ind w:left="709" w:hanging="425"/>
        <w:jc w:val="both"/>
        <w:rPr>
          <w:rFonts w:ascii="Arial" w:eastAsia="Arial" w:hAnsi="Arial" w:cs="Arial"/>
          <w:sz w:val="22"/>
          <w:szCs w:val="22"/>
        </w:rPr>
      </w:pPr>
      <w:r w:rsidRPr="00E619C8">
        <w:rPr>
          <w:rFonts w:ascii="Arial" w:eastAsia="Arial" w:hAnsi="Arial" w:cs="Arial"/>
          <w:sz w:val="22"/>
          <w:szCs w:val="22"/>
        </w:rPr>
        <w:t>Other specific challenges faced in implementing ITI:</w:t>
      </w:r>
    </w:p>
    <w:p w14:paraId="796AFB58" w14:textId="525C56C5" w:rsidR="002033A5" w:rsidRPr="00E619C8" w:rsidRDefault="001A76F8" w:rsidP="001A76F8">
      <w:pPr>
        <w:spacing w:line="301" w:lineRule="auto"/>
        <w:jc w:val="both"/>
        <w:rPr>
          <w:rFonts w:ascii="Arial" w:eastAsia="Arial" w:hAnsi="Arial" w:cs="Arial"/>
          <w:sz w:val="22"/>
          <w:szCs w:val="22"/>
        </w:rPr>
      </w:pPr>
      <w:r w:rsidRPr="00E619C8">
        <w:rPr>
          <w:rFonts w:ascii="Arial" w:eastAsia="Arial" w:hAnsi="Arial" w:cs="Arial"/>
          <w:sz w:val="22"/>
          <w:szCs w:val="22"/>
        </w:rPr>
        <w:t xml:space="preserve">Most agencies </w:t>
      </w:r>
      <w:r w:rsidR="0010409B">
        <w:rPr>
          <w:rFonts w:ascii="Arial" w:eastAsia="Arial" w:hAnsi="Arial" w:cs="Arial"/>
          <w:sz w:val="22"/>
          <w:szCs w:val="22"/>
        </w:rPr>
        <w:t>were unaware of</w:t>
      </w:r>
      <w:r w:rsidRPr="00E619C8">
        <w:rPr>
          <w:rFonts w:ascii="Arial" w:eastAsia="Arial" w:hAnsi="Arial" w:cs="Arial"/>
          <w:sz w:val="22"/>
          <w:szCs w:val="22"/>
        </w:rPr>
        <w:t xml:space="preserve"> CoST.</w:t>
      </w:r>
    </w:p>
    <w:p w14:paraId="0519A03C" w14:textId="135DBAFC" w:rsidR="009B42F1" w:rsidRPr="00E619C8" w:rsidRDefault="009B42F1">
      <w:pPr>
        <w:rPr>
          <w:rFonts w:ascii="Arial" w:eastAsia="Arial" w:hAnsi="Arial" w:cs="Arial"/>
          <w:b/>
          <w:bCs/>
          <w:color w:val="C00000"/>
          <w:sz w:val="48"/>
          <w:szCs w:val="48"/>
        </w:rPr>
      </w:pPr>
    </w:p>
    <w:p w14:paraId="6DFB632A" w14:textId="77777777" w:rsidR="0010409B" w:rsidRDefault="0010409B">
      <w:pPr>
        <w:rPr>
          <w:rFonts w:ascii="Arial" w:eastAsia="Arial" w:hAnsi="Arial" w:cs="Arial"/>
          <w:b/>
          <w:bCs/>
          <w:color w:val="C00000"/>
          <w:sz w:val="48"/>
          <w:szCs w:val="48"/>
        </w:rPr>
      </w:pPr>
      <w:bookmarkStart w:id="16" w:name="_Toc227235258"/>
      <w:r>
        <w:rPr>
          <w:rFonts w:ascii="Arial" w:eastAsia="Arial" w:hAnsi="Arial" w:cs="Arial"/>
          <w:b/>
          <w:bCs/>
          <w:color w:val="C00000"/>
          <w:sz w:val="48"/>
          <w:szCs w:val="48"/>
        </w:rPr>
        <w:br w:type="page"/>
      </w:r>
    </w:p>
    <w:p w14:paraId="6BDCAE8A" w14:textId="317198B0" w:rsidR="002033A5" w:rsidRPr="00E619C8" w:rsidRDefault="00E113EC">
      <w:pPr>
        <w:pStyle w:val="Heading1"/>
        <w:pBdr>
          <w:top w:val="nil"/>
          <w:left w:val="nil"/>
          <w:bottom w:val="nil"/>
          <w:right w:val="nil"/>
          <w:between w:val="nil"/>
        </w:pBdr>
        <w:spacing w:before="120" w:after="240" w:line="276" w:lineRule="auto"/>
        <w:rPr>
          <w:rFonts w:ascii="Arial" w:eastAsia="Arial" w:hAnsi="Arial" w:cs="Arial"/>
          <w:sz w:val="22"/>
          <w:szCs w:val="22"/>
        </w:rPr>
      </w:pPr>
      <w:r w:rsidRPr="00E619C8">
        <w:rPr>
          <w:rFonts w:ascii="Arial" w:eastAsia="Arial" w:hAnsi="Arial" w:cs="Arial"/>
          <w:b/>
          <w:bCs/>
          <w:color w:val="C00000"/>
          <w:sz w:val="48"/>
          <w:szCs w:val="48"/>
        </w:rPr>
        <w:t>Chapter 3</w:t>
      </w:r>
      <w:r w:rsidRPr="00E619C8">
        <w:rPr>
          <w:rFonts w:ascii="Arial" w:eastAsia="Arial" w:hAnsi="Arial" w:cs="Arial"/>
          <w:b/>
          <w:bCs/>
          <w:color w:val="C00000"/>
        </w:rPr>
        <w:t xml:space="preserve"> | Results</w:t>
      </w:r>
      <w:bookmarkEnd w:id="16"/>
      <w:r w:rsidRPr="00E619C8">
        <w:rPr>
          <w:rFonts w:ascii="Arial" w:eastAsia="Arial" w:hAnsi="Arial" w:cs="Arial"/>
          <w:b/>
          <w:bCs/>
          <w:color w:val="C00000"/>
        </w:rPr>
        <w:t xml:space="preserve">  </w:t>
      </w:r>
    </w:p>
    <w:p w14:paraId="0C20D7D3" w14:textId="0A948371" w:rsidR="002033A5" w:rsidRPr="00E619C8" w:rsidRDefault="00E113EC">
      <w:pPr>
        <w:pStyle w:val="Heading2"/>
        <w:pBdr>
          <w:top w:val="nil"/>
          <w:left w:val="nil"/>
          <w:bottom w:val="nil"/>
          <w:right w:val="nil"/>
          <w:between w:val="nil"/>
        </w:pBdr>
        <w:spacing w:before="320" w:after="160" w:line="276" w:lineRule="auto"/>
        <w:jc w:val="both"/>
        <w:rPr>
          <w:rFonts w:ascii="Arial" w:eastAsia="Arial" w:hAnsi="Arial" w:cs="Arial"/>
          <w:color w:val="000000"/>
          <w:sz w:val="22"/>
          <w:szCs w:val="22"/>
        </w:rPr>
      </w:pPr>
      <w:bookmarkStart w:id="17" w:name="_Toc227235259"/>
      <w:r w:rsidRPr="00E619C8">
        <w:rPr>
          <w:rFonts w:ascii="Arial" w:eastAsia="Arial" w:hAnsi="Arial" w:cs="Arial"/>
          <w:b/>
          <w:bCs/>
          <w:color w:val="C00000"/>
          <w:sz w:val="28"/>
          <w:szCs w:val="28"/>
        </w:rPr>
        <w:t xml:space="preserve">3.1 </w:t>
      </w:r>
      <w:r w:rsidR="009B42F1" w:rsidRPr="00E619C8">
        <w:rPr>
          <w:rFonts w:ascii="Arial" w:eastAsia="Arial" w:hAnsi="Arial" w:cs="Arial"/>
          <w:b/>
          <w:bCs/>
          <w:color w:val="C00000"/>
          <w:sz w:val="28"/>
          <w:szCs w:val="28"/>
        </w:rPr>
        <w:t xml:space="preserve">NTB </w:t>
      </w:r>
      <w:r w:rsidRPr="00E619C8">
        <w:rPr>
          <w:rFonts w:ascii="Arial" w:eastAsia="Arial" w:hAnsi="Arial" w:cs="Arial"/>
          <w:b/>
          <w:bCs/>
          <w:color w:val="C00000"/>
          <w:sz w:val="28"/>
          <w:szCs w:val="28"/>
        </w:rPr>
        <w:t>ITI score</w:t>
      </w:r>
      <w:bookmarkEnd w:id="17"/>
    </w:p>
    <w:p w14:paraId="63047E82" w14:textId="28883575"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Figure 2 presents the </w:t>
      </w:r>
      <w:r w:rsidR="009B42F1" w:rsidRPr="00E619C8">
        <w:rPr>
          <w:rFonts w:ascii="Arial" w:eastAsia="Arial" w:hAnsi="Arial" w:cs="Arial"/>
          <w:sz w:val="22"/>
          <w:szCs w:val="22"/>
        </w:rPr>
        <w:t xml:space="preserve">NTB </w:t>
      </w:r>
      <w:r w:rsidRPr="00E619C8">
        <w:rPr>
          <w:rFonts w:ascii="Arial" w:eastAsia="Arial" w:hAnsi="Arial" w:cs="Arial"/>
          <w:sz w:val="22"/>
          <w:szCs w:val="22"/>
        </w:rPr>
        <w:t>Infrastructure Transparency Index score and the scores achieved across the four ITI dimensions.</w:t>
      </w:r>
    </w:p>
    <w:p w14:paraId="3E763EA8" w14:textId="0C778F6A" w:rsidR="002033A5" w:rsidRPr="00E619C8" w:rsidRDefault="002308AF">
      <w:pPr>
        <w:pBdr>
          <w:top w:val="nil"/>
          <w:left w:val="nil"/>
          <w:bottom w:val="nil"/>
          <w:right w:val="nil"/>
          <w:between w:val="nil"/>
        </w:pBdr>
        <w:spacing w:after="160" w:line="300" w:lineRule="auto"/>
        <w:jc w:val="both"/>
        <w:rPr>
          <w:rFonts w:ascii="Arial" w:eastAsia="Arial" w:hAnsi="Arial" w:cs="Arial"/>
          <w:sz w:val="22"/>
          <w:szCs w:val="22"/>
        </w:rPr>
      </w:pPr>
      <w:r w:rsidRPr="00E619C8">
        <w:rPr>
          <w:noProof/>
        </w:rPr>
        <w:drawing>
          <wp:inline distT="0" distB="0" distL="0" distR="0" wp14:anchorId="6BCBCF19" wp14:editId="6575E12A">
            <wp:extent cx="5731510" cy="3549650"/>
            <wp:effectExtent l="0" t="0" r="0" b="6350"/>
            <wp:docPr id="1103270120" name="Picture 8" descr="A graph of different colored rectangular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3270120" name="Picture 8" descr="A graph of different colored rectangular objects&#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549650"/>
                    </a:xfrm>
                    <a:prstGeom prst="rect">
                      <a:avLst/>
                    </a:prstGeom>
                    <a:noFill/>
                    <a:ln>
                      <a:noFill/>
                    </a:ln>
                  </pic:spPr>
                </pic:pic>
              </a:graphicData>
            </a:graphic>
          </wp:inline>
        </w:drawing>
      </w:r>
    </w:p>
    <w:p w14:paraId="594E8F6B" w14:textId="61C59B0A" w:rsidR="002033A5" w:rsidRPr="00E619C8" w:rsidRDefault="00E113EC">
      <w:pPr>
        <w:pBdr>
          <w:top w:val="nil"/>
          <w:left w:val="nil"/>
          <w:bottom w:val="nil"/>
          <w:right w:val="nil"/>
          <w:between w:val="nil"/>
        </w:pBdr>
        <w:spacing w:after="160" w:line="300" w:lineRule="auto"/>
        <w:jc w:val="center"/>
        <w:rPr>
          <w:rFonts w:ascii="Arial" w:eastAsia="Arial" w:hAnsi="Arial" w:cs="Arial"/>
          <w:sz w:val="22"/>
          <w:szCs w:val="22"/>
        </w:rPr>
      </w:pPr>
      <w:r w:rsidRPr="00E619C8">
        <w:rPr>
          <w:rFonts w:ascii="Arial" w:eastAsia="Arial" w:hAnsi="Arial" w:cs="Arial"/>
          <w:sz w:val="20"/>
          <w:szCs w:val="20"/>
        </w:rPr>
        <w:t xml:space="preserve">Figure 2. </w:t>
      </w:r>
      <w:r w:rsidR="009B42F1" w:rsidRPr="00E619C8">
        <w:rPr>
          <w:rFonts w:ascii="Arial" w:eastAsia="Arial" w:hAnsi="Arial" w:cs="Arial"/>
          <w:sz w:val="20"/>
          <w:szCs w:val="20"/>
        </w:rPr>
        <w:t>Sub-n</w:t>
      </w:r>
      <w:r w:rsidRPr="00E619C8">
        <w:rPr>
          <w:rFonts w:ascii="Arial" w:eastAsia="Arial" w:hAnsi="Arial" w:cs="Arial"/>
          <w:sz w:val="20"/>
          <w:szCs w:val="20"/>
        </w:rPr>
        <w:t>ational ITI Score for NTB</w:t>
      </w:r>
    </w:p>
    <w:p w14:paraId="35E0D44A" w14:textId="13A8109E"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The </w:t>
      </w:r>
      <w:r w:rsidR="009B42F1" w:rsidRPr="00E619C8">
        <w:rPr>
          <w:rFonts w:ascii="Arial" w:eastAsia="Arial" w:hAnsi="Arial" w:cs="Arial"/>
          <w:sz w:val="22"/>
          <w:szCs w:val="22"/>
        </w:rPr>
        <w:t xml:space="preserve">sub-national </w:t>
      </w:r>
      <w:r w:rsidRPr="00E619C8">
        <w:rPr>
          <w:rFonts w:ascii="Arial" w:eastAsia="Arial" w:hAnsi="Arial" w:cs="Arial"/>
          <w:sz w:val="22"/>
          <w:szCs w:val="22"/>
        </w:rPr>
        <w:t xml:space="preserve">ITI Score for NTB is </w:t>
      </w:r>
      <w:r w:rsidRPr="00E619C8">
        <w:rPr>
          <w:rFonts w:ascii="Arial" w:eastAsia="Arial" w:hAnsi="Arial" w:cs="Arial"/>
          <w:b/>
          <w:bCs/>
          <w:sz w:val="22"/>
          <w:szCs w:val="22"/>
        </w:rPr>
        <w:t>40.16</w:t>
      </w:r>
      <w:r w:rsidRPr="00E619C8">
        <w:rPr>
          <w:rFonts w:ascii="Arial" w:eastAsia="Arial" w:hAnsi="Arial" w:cs="Arial"/>
          <w:sz w:val="22"/>
          <w:szCs w:val="22"/>
        </w:rPr>
        <w:t xml:space="preserve">, indicating a moderate level of infrastructure transparency. This overall result reflects uneven performance across the four dimensions, with relatively stronger results in </w:t>
      </w:r>
      <w:r w:rsidR="00510CF1">
        <w:rPr>
          <w:rFonts w:ascii="Arial" w:eastAsia="Arial" w:hAnsi="Arial" w:cs="Arial"/>
          <w:sz w:val="22"/>
          <w:szCs w:val="22"/>
        </w:rPr>
        <w:t xml:space="preserve">the foundational and institutional aspects and weaker outcomes in the </w:t>
      </w:r>
      <w:r w:rsidRPr="00E619C8">
        <w:rPr>
          <w:rFonts w:ascii="Arial" w:eastAsia="Arial" w:hAnsi="Arial" w:cs="Arial"/>
          <w:sz w:val="22"/>
          <w:szCs w:val="22"/>
        </w:rPr>
        <w:t>participatory and disclosure practices.</w:t>
      </w:r>
    </w:p>
    <w:p w14:paraId="0D3CDB40" w14:textId="4805A7F0"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Among the four dimensions, </w:t>
      </w:r>
      <w:r w:rsidRPr="00E619C8">
        <w:rPr>
          <w:rFonts w:ascii="Arial" w:eastAsia="Arial" w:hAnsi="Arial" w:cs="Arial"/>
          <w:b/>
          <w:bCs/>
          <w:sz w:val="22"/>
          <w:szCs w:val="22"/>
        </w:rPr>
        <w:t>Enabling Environment</w:t>
      </w:r>
      <w:r w:rsidRPr="00E619C8">
        <w:rPr>
          <w:rFonts w:ascii="Arial" w:eastAsia="Arial" w:hAnsi="Arial" w:cs="Arial"/>
          <w:sz w:val="22"/>
          <w:szCs w:val="22"/>
        </w:rPr>
        <w:t xml:space="preserve"> records the highest score at </w:t>
      </w:r>
      <w:r w:rsidRPr="00E619C8">
        <w:rPr>
          <w:rFonts w:ascii="Arial" w:eastAsia="Arial" w:hAnsi="Arial" w:cs="Arial"/>
          <w:b/>
          <w:bCs/>
          <w:sz w:val="22"/>
          <w:szCs w:val="22"/>
        </w:rPr>
        <w:t>56.60</w:t>
      </w:r>
      <w:r w:rsidRPr="00E619C8">
        <w:rPr>
          <w:rFonts w:ascii="Arial" w:eastAsia="Arial" w:hAnsi="Arial" w:cs="Arial"/>
          <w:sz w:val="22"/>
          <w:szCs w:val="22"/>
        </w:rPr>
        <w:t xml:space="preserve">. This suggests that NTB has </w:t>
      </w:r>
      <w:r w:rsidR="00510CF1">
        <w:rPr>
          <w:rFonts w:ascii="Arial" w:eastAsia="Arial" w:hAnsi="Arial" w:cs="Arial"/>
          <w:sz w:val="22"/>
          <w:szCs w:val="22"/>
        </w:rPr>
        <w:t>made</w:t>
      </w:r>
      <w:r w:rsidRPr="00E619C8">
        <w:rPr>
          <w:rFonts w:ascii="Arial" w:eastAsia="Arial" w:hAnsi="Arial" w:cs="Arial"/>
          <w:sz w:val="22"/>
          <w:szCs w:val="22"/>
        </w:rPr>
        <w:t xml:space="preserve"> </w:t>
      </w:r>
      <w:r w:rsidR="00B3762F" w:rsidRPr="00E619C8">
        <w:rPr>
          <w:rFonts w:ascii="Arial" w:eastAsia="Arial" w:hAnsi="Arial" w:cs="Arial"/>
          <w:sz w:val="22"/>
          <w:szCs w:val="22"/>
        </w:rPr>
        <w:t>progress on its</w:t>
      </w:r>
      <w:r w:rsidRPr="00E619C8">
        <w:rPr>
          <w:rFonts w:ascii="Arial" w:eastAsia="Arial" w:hAnsi="Arial" w:cs="Arial"/>
          <w:sz w:val="22"/>
          <w:szCs w:val="22"/>
        </w:rPr>
        <w:t xml:space="preserve"> regulatory and institutional foundation to support transparency in the infrastructure sector. Legal frameworks, policy instruments, and</w:t>
      </w:r>
      <w:r w:rsidR="00B3762F" w:rsidRPr="00E619C8">
        <w:rPr>
          <w:rFonts w:ascii="Arial" w:eastAsia="Arial" w:hAnsi="Arial" w:cs="Arial"/>
          <w:sz w:val="22"/>
          <w:szCs w:val="22"/>
        </w:rPr>
        <w:t xml:space="preserve"> </w:t>
      </w:r>
      <w:r w:rsidR="00510CF1">
        <w:rPr>
          <w:rFonts w:ascii="Arial" w:eastAsia="Arial" w:hAnsi="Arial" w:cs="Arial"/>
          <w:sz w:val="22"/>
          <w:szCs w:val="22"/>
        </w:rPr>
        <w:t>centralised</w:t>
      </w:r>
      <w:r w:rsidRPr="00E619C8">
        <w:rPr>
          <w:rFonts w:ascii="Arial" w:eastAsia="Arial" w:hAnsi="Arial" w:cs="Arial"/>
          <w:sz w:val="22"/>
          <w:szCs w:val="22"/>
        </w:rPr>
        <w:t xml:space="preserve"> digital tools that enable transparency are comparatively more developed than other dimensions.</w:t>
      </w:r>
    </w:p>
    <w:p w14:paraId="72B3DAD9" w14:textId="1BF54EA0"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The </w:t>
      </w:r>
      <w:r w:rsidRPr="00E619C8">
        <w:rPr>
          <w:rFonts w:ascii="Arial" w:eastAsia="Arial" w:hAnsi="Arial" w:cs="Arial"/>
          <w:b/>
          <w:bCs/>
          <w:sz w:val="22"/>
          <w:szCs w:val="22"/>
        </w:rPr>
        <w:t>Capacities and Processes</w:t>
      </w:r>
      <w:r w:rsidRPr="00E619C8">
        <w:rPr>
          <w:rFonts w:ascii="Arial" w:eastAsia="Arial" w:hAnsi="Arial" w:cs="Arial"/>
          <w:sz w:val="22"/>
          <w:szCs w:val="22"/>
        </w:rPr>
        <w:t xml:space="preserve"> dimension achieves a score of </w:t>
      </w:r>
      <w:r w:rsidRPr="00E619C8">
        <w:rPr>
          <w:rFonts w:ascii="Arial" w:eastAsia="Arial" w:hAnsi="Arial" w:cs="Arial"/>
          <w:b/>
          <w:bCs/>
          <w:sz w:val="22"/>
          <w:szCs w:val="22"/>
        </w:rPr>
        <w:t>48.30</w:t>
      </w:r>
      <w:r w:rsidRPr="00E619C8">
        <w:rPr>
          <w:rFonts w:ascii="Arial" w:eastAsia="Arial" w:hAnsi="Arial" w:cs="Arial"/>
          <w:sz w:val="22"/>
          <w:szCs w:val="22"/>
        </w:rPr>
        <w:t xml:space="preserve">, indicating moderate institutional readiness among procuring entities. While basic capacities and internal processes </w:t>
      </w:r>
      <w:r w:rsidR="00BC0963">
        <w:rPr>
          <w:rFonts w:ascii="Arial" w:eastAsia="Arial" w:hAnsi="Arial" w:cs="Arial"/>
          <w:sz w:val="22"/>
          <w:szCs w:val="22"/>
        </w:rPr>
        <w:t>for managing and publishing</w:t>
      </w:r>
      <w:r w:rsidRPr="00E619C8">
        <w:rPr>
          <w:rFonts w:ascii="Arial" w:eastAsia="Arial" w:hAnsi="Arial" w:cs="Arial"/>
          <w:sz w:val="22"/>
          <w:szCs w:val="22"/>
        </w:rPr>
        <w:t xml:space="preserve"> information exist, the score suggests that these practices are not yet fully </w:t>
      </w:r>
      <w:r w:rsidR="00510CF1">
        <w:rPr>
          <w:rFonts w:ascii="Arial" w:eastAsia="Arial" w:hAnsi="Arial" w:cs="Arial"/>
          <w:sz w:val="22"/>
          <w:szCs w:val="22"/>
        </w:rPr>
        <w:t>standardised</w:t>
      </w:r>
      <w:r w:rsidRPr="00E619C8">
        <w:rPr>
          <w:rFonts w:ascii="Arial" w:eastAsia="Arial" w:hAnsi="Arial" w:cs="Arial"/>
          <w:sz w:val="22"/>
          <w:szCs w:val="22"/>
        </w:rPr>
        <w:t xml:space="preserve"> or consistently applied across institutions.</w:t>
      </w:r>
    </w:p>
    <w:p w14:paraId="78DFA44D" w14:textId="09C5C4EF"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In contrast, </w:t>
      </w:r>
      <w:r w:rsidRPr="00E619C8">
        <w:rPr>
          <w:rFonts w:ascii="Arial" w:eastAsia="Arial" w:hAnsi="Arial" w:cs="Arial"/>
          <w:b/>
          <w:bCs/>
          <w:sz w:val="22"/>
          <w:szCs w:val="22"/>
        </w:rPr>
        <w:t>Citizen Participation</w:t>
      </w:r>
      <w:r w:rsidRPr="00E619C8">
        <w:rPr>
          <w:rFonts w:ascii="Arial" w:eastAsia="Arial" w:hAnsi="Arial" w:cs="Arial"/>
          <w:sz w:val="22"/>
          <w:szCs w:val="22"/>
        </w:rPr>
        <w:t xml:space="preserve"> scores </w:t>
      </w:r>
      <w:r w:rsidRPr="00E619C8">
        <w:rPr>
          <w:rFonts w:ascii="Arial" w:eastAsia="Arial" w:hAnsi="Arial" w:cs="Arial"/>
          <w:b/>
          <w:bCs/>
          <w:sz w:val="22"/>
          <w:szCs w:val="22"/>
        </w:rPr>
        <w:t>31.61</w:t>
      </w:r>
      <w:r w:rsidRPr="00E619C8">
        <w:rPr>
          <w:rFonts w:ascii="Arial" w:eastAsia="Arial" w:hAnsi="Arial" w:cs="Arial"/>
          <w:sz w:val="22"/>
          <w:szCs w:val="22"/>
        </w:rPr>
        <w:t xml:space="preserve">, highlighting limited opportunities for structured and meaningful public engagement in infrastructure decision-making and oversight. This result points </w:t>
      </w:r>
      <w:r w:rsidR="009C40DD">
        <w:rPr>
          <w:rFonts w:ascii="Arial" w:eastAsia="Arial" w:hAnsi="Arial" w:cs="Arial"/>
          <w:sz w:val="22"/>
          <w:szCs w:val="22"/>
        </w:rPr>
        <w:t xml:space="preserve">to </w:t>
      </w:r>
      <w:r w:rsidR="00B3762F" w:rsidRPr="00E619C8">
        <w:rPr>
          <w:rFonts w:ascii="Arial" w:eastAsia="Arial" w:hAnsi="Arial" w:cs="Arial"/>
          <w:sz w:val="22"/>
          <w:szCs w:val="22"/>
        </w:rPr>
        <w:t xml:space="preserve">a </w:t>
      </w:r>
      <w:r w:rsidR="009C40DD">
        <w:rPr>
          <w:rFonts w:ascii="Arial" w:eastAsia="Arial" w:hAnsi="Arial" w:cs="Arial"/>
          <w:sz w:val="22"/>
          <w:szCs w:val="22"/>
        </w:rPr>
        <w:t>relationship between information availability and its active use by citizens, as well as to limited institutional mechanisms for incorporating</w:t>
      </w:r>
      <w:r w:rsidRPr="00E619C8">
        <w:rPr>
          <w:rFonts w:ascii="Arial" w:eastAsia="Arial" w:hAnsi="Arial" w:cs="Arial"/>
          <w:sz w:val="22"/>
          <w:szCs w:val="22"/>
        </w:rPr>
        <w:t xml:space="preserve"> citizen feedback.</w:t>
      </w:r>
    </w:p>
    <w:p w14:paraId="36AF0659" w14:textId="77777777"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The lowest score is observed in </w:t>
      </w:r>
      <w:r w:rsidRPr="00E619C8">
        <w:rPr>
          <w:rFonts w:ascii="Arial" w:eastAsia="Arial" w:hAnsi="Arial" w:cs="Arial"/>
          <w:b/>
          <w:bCs/>
          <w:sz w:val="22"/>
          <w:szCs w:val="22"/>
        </w:rPr>
        <w:t>Information Disclosure</w:t>
      </w:r>
      <w:r w:rsidRPr="00E619C8">
        <w:rPr>
          <w:rFonts w:ascii="Arial" w:eastAsia="Arial" w:hAnsi="Arial" w:cs="Arial"/>
          <w:sz w:val="22"/>
          <w:szCs w:val="22"/>
        </w:rPr>
        <w:t xml:space="preserve">, at </w:t>
      </w:r>
      <w:r w:rsidRPr="00E619C8">
        <w:rPr>
          <w:rFonts w:ascii="Arial" w:eastAsia="Arial" w:hAnsi="Arial" w:cs="Arial"/>
          <w:b/>
          <w:bCs/>
          <w:sz w:val="22"/>
          <w:szCs w:val="22"/>
        </w:rPr>
        <w:t>29.83</w:t>
      </w:r>
      <w:r w:rsidRPr="00E619C8">
        <w:rPr>
          <w:rFonts w:ascii="Arial" w:eastAsia="Arial" w:hAnsi="Arial" w:cs="Arial"/>
          <w:sz w:val="22"/>
          <w:szCs w:val="22"/>
        </w:rPr>
        <w:t>. Despite ongoing efforts to publish infrastructure data, this result indicates challenges related to data completeness, consistency, accessibility, and alignment with disclosure standards. It suggests that disclosure practices remain fragmented and have not yet reached a level that fully supports transparency and accountability.</w:t>
      </w:r>
    </w:p>
    <w:p w14:paraId="73935F38" w14:textId="77777777"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Overall, the results indicate that while NTB has made notable progress in establishing enabling conditions and institutional capacities, further efforts are required to strengthen disclosure practices and deepen citizen participation. Addressing these gaps will be critical to improving the overall ITI performance and translating transparency commitments into tangible public value.</w:t>
      </w:r>
    </w:p>
    <w:p w14:paraId="77B8CDD8" w14:textId="77777777" w:rsidR="002033A5" w:rsidRPr="00E619C8" w:rsidRDefault="00E113EC">
      <w:pPr>
        <w:keepNext/>
        <w:keepLines/>
        <w:spacing w:before="240" w:after="160" w:line="300" w:lineRule="auto"/>
        <w:jc w:val="both"/>
        <w:rPr>
          <w:rFonts w:ascii="Arial" w:eastAsia="Arial" w:hAnsi="Arial" w:cs="Arial"/>
          <w:sz w:val="22"/>
          <w:szCs w:val="22"/>
        </w:rPr>
      </w:pPr>
      <w:bookmarkStart w:id="18" w:name="_heading=h.9rfqc4tg4wmk" w:colFirst="0" w:colLast="0"/>
      <w:bookmarkEnd w:id="18"/>
      <w:r w:rsidRPr="00E619C8">
        <w:rPr>
          <w:rFonts w:ascii="Arial" w:eastAsia="Arial" w:hAnsi="Arial" w:cs="Arial"/>
          <w:b/>
          <w:bCs/>
          <w:color w:val="C00000"/>
          <w:sz w:val="22"/>
          <w:szCs w:val="22"/>
        </w:rPr>
        <w:t>3.1.1 International comparison</w:t>
      </w:r>
    </w:p>
    <w:p w14:paraId="07BDC3E5" w14:textId="64994963"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Figure 3 compares the ITI Score of </w:t>
      </w:r>
      <w:r w:rsidRPr="00E619C8">
        <w:rPr>
          <w:rFonts w:ascii="Arial" w:eastAsia="Arial" w:hAnsi="Arial" w:cs="Arial"/>
          <w:b/>
          <w:bCs/>
          <w:sz w:val="22"/>
          <w:szCs w:val="22"/>
        </w:rPr>
        <w:t>Indonesia (NTB)</w:t>
      </w:r>
      <w:r w:rsidRPr="00E619C8">
        <w:rPr>
          <w:rFonts w:ascii="Arial" w:eastAsia="Arial" w:hAnsi="Arial" w:cs="Arial"/>
          <w:sz w:val="22"/>
          <w:szCs w:val="22"/>
        </w:rPr>
        <w:t xml:space="preserve"> with the ITI scores of other international and sub-national CoST implementations.</w:t>
      </w:r>
    </w:p>
    <w:p w14:paraId="1610D560" w14:textId="67A1485C" w:rsidR="002033A5" w:rsidRPr="00E619C8" w:rsidRDefault="00400E66">
      <w:pPr>
        <w:pBdr>
          <w:top w:val="nil"/>
          <w:left w:val="nil"/>
          <w:bottom w:val="nil"/>
          <w:right w:val="nil"/>
          <w:between w:val="nil"/>
        </w:pBdr>
        <w:spacing w:after="160" w:line="300" w:lineRule="auto"/>
        <w:jc w:val="both"/>
        <w:rPr>
          <w:rFonts w:ascii="Arial" w:eastAsia="Arial" w:hAnsi="Arial" w:cs="Arial"/>
          <w:sz w:val="22"/>
          <w:szCs w:val="22"/>
        </w:rPr>
      </w:pPr>
      <w:r w:rsidRPr="00E619C8">
        <w:rPr>
          <w:noProof/>
        </w:rPr>
        <w:drawing>
          <wp:inline distT="0" distB="0" distL="0" distR="0" wp14:anchorId="051018B1" wp14:editId="36B8BA59">
            <wp:extent cx="5731510" cy="2573655"/>
            <wp:effectExtent l="0" t="0" r="8890" b="17145"/>
            <wp:docPr id="756393401" name="Chart 1">
              <a:extLst xmlns:a="http://schemas.openxmlformats.org/drawingml/2006/main">
                <a:ext uri="{FF2B5EF4-FFF2-40B4-BE49-F238E27FC236}">
                  <a16:creationId xmlns:a16="http://schemas.microsoft.com/office/drawing/2014/main" id="{C53F8B77-047E-4D8F-691F-792F77F35D0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14:paraId="1ED68BA9" w14:textId="77777777" w:rsidR="002033A5" w:rsidRPr="00E619C8" w:rsidRDefault="00E113EC">
      <w:pPr>
        <w:pBdr>
          <w:top w:val="nil"/>
          <w:left w:val="nil"/>
          <w:bottom w:val="nil"/>
          <w:right w:val="nil"/>
          <w:between w:val="nil"/>
        </w:pBdr>
        <w:spacing w:after="160" w:line="300" w:lineRule="auto"/>
        <w:jc w:val="center"/>
        <w:rPr>
          <w:rFonts w:ascii="Arial" w:eastAsia="Arial" w:hAnsi="Arial" w:cs="Arial"/>
          <w:sz w:val="22"/>
          <w:szCs w:val="22"/>
        </w:rPr>
      </w:pPr>
      <w:r w:rsidRPr="00E619C8">
        <w:rPr>
          <w:rFonts w:ascii="Arial" w:eastAsia="Arial" w:hAnsi="Arial" w:cs="Arial"/>
          <w:sz w:val="20"/>
          <w:szCs w:val="20"/>
        </w:rPr>
        <w:t>Figure 3. ITI Score for all CoST Members</w:t>
      </w:r>
    </w:p>
    <w:p w14:paraId="27B88652" w14:textId="0DE30B36"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With a</w:t>
      </w:r>
      <w:r w:rsidR="00B3762F" w:rsidRPr="00E619C8">
        <w:rPr>
          <w:rFonts w:ascii="Arial" w:eastAsia="Arial" w:hAnsi="Arial" w:cs="Arial"/>
          <w:sz w:val="22"/>
          <w:szCs w:val="22"/>
        </w:rPr>
        <w:t>n</w:t>
      </w:r>
      <w:r w:rsidRPr="00E619C8">
        <w:rPr>
          <w:rFonts w:ascii="Arial" w:eastAsia="Arial" w:hAnsi="Arial" w:cs="Arial"/>
          <w:sz w:val="22"/>
          <w:szCs w:val="22"/>
        </w:rPr>
        <w:t xml:space="preserve"> ITI Score of </w:t>
      </w:r>
      <w:r w:rsidRPr="00E619C8">
        <w:rPr>
          <w:rFonts w:ascii="Arial" w:eastAsia="Arial" w:hAnsi="Arial" w:cs="Arial"/>
          <w:b/>
          <w:bCs/>
          <w:sz w:val="22"/>
          <w:szCs w:val="22"/>
        </w:rPr>
        <w:t>40.16</w:t>
      </w:r>
      <w:r w:rsidRPr="00E619C8">
        <w:rPr>
          <w:rFonts w:ascii="Arial" w:eastAsia="Arial" w:hAnsi="Arial" w:cs="Arial"/>
          <w:sz w:val="22"/>
          <w:szCs w:val="22"/>
        </w:rPr>
        <w:t xml:space="preserve">, NTB performs </w:t>
      </w:r>
      <w:r w:rsidRPr="00E619C8">
        <w:rPr>
          <w:rFonts w:ascii="Arial" w:eastAsia="Arial" w:hAnsi="Arial" w:cs="Arial"/>
          <w:b/>
          <w:bCs/>
          <w:sz w:val="22"/>
          <w:szCs w:val="22"/>
        </w:rPr>
        <w:t>below the international average score of 42.73</w:t>
      </w:r>
      <w:r w:rsidRPr="00E619C8">
        <w:rPr>
          <w:rFonts w:ascii="Arial" w:eastAsia="Arial" w:hAnsi="Arial" w:cs="Arial"/>
          <w:sz w:val="22"/>
          <w:szCs w:val="22"/>
        </w:rPr>
        <w:t>. This result places NTB among countries and sub-national entities with emerging transparency systems, where foundational elements are in place but not yet fully translated into comprehensive transparency outcomes.</w:t>
      </w:r>
    </w:p>
    <w:p w14:paraId="6D05CCE8" w14:textId="77777777"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Higher-performing countries such as </w:t>
      </w:r>
      <w:r w:rsidRPr="00E619C8">
        <w:rPr>
          <w:rFonts w:ascii="Arial" w:eastAsia="Arial" w:hAnsi="Arial" w:cs="Arial"/>
          <w:b/>
          <w:bCs/>
          <w:sz w:val="22"/>
          <w:szCs w:val="22"/>
        </w:rPr>
        <w:t>Costa Rica (66.95)</w:t>
      </w:r>
      <w:r w:rsidRPr="00E619C8">
        <w:rPr>
          <w:rFonts w:ascii="Arial" w:eastAsia="Arial" w:hAnsi="Arial" w:cs="Arial"/>
          <w:sz w:val="22"/>
          <w:szCs w:val="22"/>
        </w:rPr>
        <w:t xml:space="preserve">, </w:t>
      </w:r>
      <w:r w:rsidRPr="00E619C8">
        <w:rPr>
          <w:rFonts w:ascii="Arial" w:eastAsia="Arial" w:hAnsi="Arial" w:cs="Arial"/>
          <w:b/>
          <w:bCs/>
          <w:sz w:val="22"/>
          <w:szCs w:val="22"/>
        </w:rPr>
        <w:t>Guatemala (65.12)</w:t>
      </w:r>
      <w:r w:rsidRPr="00E619C8">
        <w:rPr>
          <w:rFonts w:ascii="Arial" w:eastAsia="Arial" w:hAnsi="Arial" w:cs="Arial"/>
          <w:sz w:val="22"/>
          <w:szCs w:val="22"/>
        </w:rPr>
        <w:t xml:space="preserve">, </w:t>
      </w:r>
      <w:r w:rsidRPr="00E619C8">
        <w:rPr>
          <w:rFonts w:ascii="Arial" w:eastAsia="Arial" w:hAnsi="Arial" w:cs="Arial"/>
          <w:b/>
          <w:bCs/>
          <w:sz w:val="22"/>
          <w:szCs w:val="22"/>
        </w:rPr>
        <w:t>Ukraine (62.18)</w:t>
      </w:r>
      <w:r w:rsidRPr="00E619C8">
        <w:rPr>
          <w:rFonts w:ascii="Arial" w:eastAsia="Arial" w:hAnsi="Arial" w:cs="Arial"/>
          <w:sz w:val="22"/>
          <w:szCs w:val="22"/>
        </w:rPr>
        <w:t xml:space="preserve">, and </w:t>
      </w:r>
      <w:r w:rsidRPr="00E619C8">
        <w:rPr>
          <w:rFonts w:ascii="Arial" w:eastAsia="Arial" w:hAnsi="Arial" w:cs="Arial"/>
          <w:b/>
          <w:bCs/>
          <w:sz w:val="22"/>
          <w:szCs w:val="22"/>
        </w:rPr>
        <w:t>Honduras (61.82)</w:t>
      </w:r>
      <w:r w:rsidRPr="00E619C8">
        <w:rPr>
          <w:rFonts w:ascii="Arial" w:eastAsia="Arial" w:hAnsi="Arial" w:cs="Arial"/>
          <w:sz w:val="22"/>
          <w:szCs w:val="22"/>
        </w:rPr>
        <w:t xml:space="preserve"> demonstrate the benefits of more mature transparency frameworks and sustained implementation of CoST principles over multiple years. These implementations show more balanced and consistently high performance across ITI dimensions.</w:t>
      </w:r>
    </w:p>
    <w:p w14:paraId="1292C750" w14:textId="2BE2A869"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NTB’s score is comparable</w:t>
      </w:r>
      <w:r w:rsidR="008A1DCC">
        <w:rPr>
          <w:rFonts w:ascii="Arial" w:eastAsia="Arial" w:hAnsi="Arial" w:cs="Arial"/>
          <w:sz w:val="22"/>
          <w:szCs w:val="22"/>
        </w:rPr>
        <w:t xml:space="preserve"> to, though slightly above, </w:t>
      </w:r>
      <w:r w:rsidRPr="00E619C8">
        <w:rPr>
          <w:rFonts w:ascii="Arial" w:eastAsia="Arial" w:hAnsi="Arial" w:cs="Arial"/>
          <w:sz w:val="22"/>
          <w:szCs w:val="22"/>
        </w:rPr>
        <w:t xml:space="preserve">several countries with similar levels of institutional maturity, including </w:t>
      </w:r>
      <w:r w:rsidRPr="00E619C8">
        <w:rPr>
          <w:rFonts w:ascii="Arial" w:eastAsia="Arial" w:hAnsi="Arial" w:cs="Arial"/>
          <w:b/>
          <w:bCs/>
          <w:sz w:val="22"/>
          <w:szCs w:val="22"/>
        </w:rPr>
        <w:t>Ghana (35.76)</w:t>
      </w:r>
      <w:r w:rsidRPr="00E619C8">
        <w:rPr>
          <w:rFonts w:ascii="Arial" w:eastAsia="Arial" w:hAnsi="Arial" w:cs="Arial"/>
          <w:sz w:val="22"/>
          <w:szCs w:val="22"/>
        </w:rPr>
        <w:t xml:space="preserve">, </w:t>
      </w:r>
      <w:r w:rsidRPr="00E619C8">
        <w:rPr>
          <w:rFonts w:ascii="Arial" w:eastAsia="Arial" w:hAnsi="Arial" w:cs="Arial"/>
          <w:b/>
          <w:bCs/>
          <w:sz w:val="22"/>
          <w:szCs w:val="22"/>
        </w:rPr>
        <w:t>El Salvador (36.77)</w:t>
      </w:r>
      <w:r w:rsidRPr="00E619C8">
        <w:rPr>
          <w:rFonts w:ascii="Arial" w:eastAsia="Arial" w:hAnsi="Arial" w:cs="Arial"/>
          <w:sz w:val="22"/>
          <w:szCs w:val="22"/>
        </w:rPr>
        <w:t xml:space="preserve">, and </w:t>
      </w:r>
      <w:r w:rsidRPr="00E619C8">
        <w:rPr>
          <w:rFonts w:ascii="Arial" w:eastAsia="Arial" w:hAnsi="Arial" w:cs="Arial"/>
          <w:b/>
          <w:bCs/>
          <w:sz w:val="22"/>
          <w:szCs w:val="22"/>
        </w:rPr>
        <w:t>Uganda (32.26)</w:t>
      </w:r>
      <w:r w:rsidRPr="00E619C8">
        <w:rPr>
          <w:rFonts w:ascii="Arial" w:eastAsia="Arial" w:hAnsi="Arial" w:cs="Arial"/>
          <w:sz w:val="22"/>
          <w:szCs w:val="22"/>
        </w:rPr>
        <w:t xml:space="preserve">, and is notably higher than </w:t>
      </w:r>
      <w:r w:rsidRPr="00E619C8">
        <w:rPr>
          <w:rFonts w:ascii="Arial" w:eastAsia="Arial" w:hAnsi="Arial" w:cs="Arial"/>
          <w:b/>
          <w:bCs/>
          <w:sz w:val="22"/>
          <w:szCs w:val="22"/>
        </w:rPr>
        <w:t>Malawi (25.41)</w:t>
      </w:r>
      <w:r w:rsidRPr="00E619C8">
        <w:rPr>
          <w:rFonts w:ascii="Arial" w:eastAsia="Arial" w:hAnsi="Arial" w:cs="Arial"/>
          <w:sz w:val="22"/>
          <w:szCs w:val="22"/>
        </w:rPr>
        <w:t xml:space="preserve"> and </w:t>
      </w:r>
      <w:r w:rsidRPr="00E619C8">
        <w:rPr>
          <w:rFonts w:ascii="Arial" w:eastAsia="Arial" w:hAnsi="Arial" w:cs="Arial"/>
          <w:b/>
          <w:bCs/>
          <w:sz w:val="22"/>
          <w:szCs w:val="22"/>
        </w:rPr>
        <w:t>Ecuador (27.65)</w:t>
      </w:r>
      <w:r w:rsidRPr="00E619C8">
        <w:rPr>
          <w:rFonts w:ascii="Arial" w:eastAsia="Arial" w:hAnsi="Arial" w:cs="Arial"/>
          <w:sz w:val="22"/>
          <w:szCs w:val="22"/>
        </w:rPr>
        <w:t>. This suggests that NTB has achieved a moderate level of transparency relative to peers, particularly given its relatively recent engagement with the ITI process.</w:t>
      </w:r>
    </w:p>
    <w:p w14:paraId="06FE3ED8" w14:textId="58A678AD" w:rsidR="002033A5" w:rsidRPr="00E619C8" w:rsidRDefault="00E113EC" w:rsidP="00FC1D48">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Overall, the comparison indicates that Indonesia (NTB) is progressing in line with international experience, while also highlighting the need to strengthen implementation depth to close the gap with higher-performing countries.</w:t>
      </w:r>
    </w:p>
    <w:p w14:paraId="62BDA3C8" w14:textId="77777777" w:rsidR="002033A5" w:rsidRPr="00E619C8" w:rsidRDefault="00E113EC">
      <w:pP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Figure 4 compares </w:t>
      </w:r>
      <w:r w:rsidRPr="00E619C8">
        <w:rPr>
          <w:rFonts w:ascii="Arial" w:eastAsia="Arial" w:hAnsi="Arial" w:cs="Arial"/>
          <w:b/>
          <w:bCs/>
          <w:sz w:val="22"/>
          <w:szCs w:val="22"/>
        </w:rPr>
        <w:t>Indonesia (NTB)’s scores across the four ITI dimensions</w:t>
      </w:r>
      <w:r w:rsidRPr="00E619C8">
        <w:rPr>
          <w:rFonts w:ascii="Arial" w:eastAsia="Arial" w:hAnsi="Arial" w:cs="Arial"/>
          <w:sz w:val="22"/>
          <w:szCs w:val="22"/>
        </w:rPr>
        <w:t xml:space="preserve"> with the </w:t>
      </w:r>
      <w:r w:rsidRPr="00E619C8">
        <w:rPr>
          <w:rFonts w:ascii="Arial" w:eastAsia="Arial" w:hAnsi="Arial" w:cs="Arial"/>
          <w:b/>
          <w:bCs/>
          <w:sz w:val="22"/>
          <w:szCs w:val="22"/>
        </w:rPr>
        <w:t>international average scores</w:t>
      </w:r>
      <w:r w:rsidRPr="00E619C8">
        <w:rPr>
          <w:rFonts w:ascii="Arial" w:eastAsia="Arial" w:hAnsi="Arial" w:cs="Arial"/>
          <w:sz w:val="22"/>
          <w:szCs w:val="22"/>
        </w:rPr>
        <w:t xml:space="preserve"> for each dimension.</w:t>
      </w:r>
    </w:p>
    <w:p w14:paraId="20411C28" w14:textId="0570613D" w:rsidR="002033A5" w:rsidRPr="00E619C8" w:rsidRDefault="00400E66">
      <w:pPr>
        <w:spacing w:after="160" w:line="300" w:lineRule="auto"/>
        <w:jc w:val="both"/>
        <w:rPr>
          <w:rFonts w:ascii="Arial" w:eastAsia="Arial" w:hAnsi="Arial" w:cs="Arial"/>
          <w:sz w:val="22"/>
          <w:szCs w:val="22"/>
        </w:rPr>
      </w:pPr>
      <w:r w:rsidRPr="00E619C8">
        <w:rPr>
          <w:noProof/>
        </w:rPr>
        <w:drawing>
          <wp:inline distT="0" distB="0" distL="0" distR="0" wp14:anchorId="453F25E9" wp14:editId="304856D9">
            <wp:extent cx="5731510" cy="2950028"/>
            <wp:effectExtent l="0" t="0" r="8890" b="9525"/>
            <wp:docPr id="298531847" name="Chart 1">
              <a:extLst xmlns:a="http://schemas.openxmlformats.org/drawingml/2006/main">
                <a:ext uri="{FF2B5EF4-FFF2-40B4-BE49-F238E27FC236}">
                  <a16:creationId xmlns:a16="http://schemas.microsoft.com/office/drawing/2014/main" id="{1E95CFBF-64F4-470A-C76C-9C9E6E2EDD23}"/>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14:paraId="7CE1DE9A" w14:textId="77777777" w:rsidR="002033A5" w:rsidRPr="00E619C8" w:rsidRDefault="00E113EC" w:rsidP="007F3E4C">
      <w:pPr>
        <w:pBdr>
          <w:top w:val="nil"/>
          <w:left w:val="nil"/>
          <w:bottom w:val="nil"/>
          <w:right w:val="nil"/>
          <w:between w:val="nil"/>
        </w:pBdr>
        <w:spacing w:after="240" w:line="300" w:lineRule="auto"/>
        <w:jc w:val="center"/>
        <w:rPr>
          <w:rFonts w:ascii="Arial" w:eastAsia="Arial" w:hAnsi="Arial" w:cs="Arial"/>
          <w:sz w:val="22"/>
          <w:szCs w:val="22"/>
        </w:rPr>
      </w:pPr>
      <w:r w:rsidRPr="00E619C8">
        <w:rPr>
          <w:rFonts w:ascii="Arial" w:eastAsia="Arial" w:hAnsi="Arial" w:cs="Arial"/>
          <w:sz w:val="20"/>
          <w:szCs w:val="20"/>
        </w:rPr>
        <w:t>Figure 4. Four ITI dimensions’ score for all CoST Members</w:t>
      </w:r>
    </w:p>
    <w:p w14:paraId="0025C35E" w14:textId="6BCD958F" w:rsidR="002033A5" w:rsidRPr="00E619C8" w:rsidRDefault="00E113EC">
      <w:pP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In the </w:t>
      </w:r>
      <w:r w:rsidRPr="00E619C8">
        <w:rPr>
          <w:rFonts w:ascii="Arial" w:eastAsia="Arial" w:hAnsi="Arial" w:cs="Arial"/>
          <w:b/>
          <w:bCs/>
          <w:sz w:val="22"/>
          <w:szCs w:val="22"/>
        </w:rPr>
        <w:t>Enabling Environment</w:t>
      </w:r>
      <w:r w:rsidRPr="00E619C8">
        <w:rPr>
          <w:rFonts w:ascii="Arial" w:eastAsia="Arial" w:hAnsi="Arial" w:cs="Arial"/>
          <w:sz w:val="22"/>
          <w:szCs w:val="22"/>
        </w:rPr>
        <w:t xml:space="preserve"> dimension, NTB achieves a score of </w:t>
      </w:r>
      <w:r w:rsidRPr="00E619C8">
        <w:rPr>
          <w:rFonts w:ascii="Arial" w:eastAsia="Arial" w:hAnsi="Arial" w:cs="Arial"/>
          <w:b/>
          <w:bCs/>
          <w:sz w:val="22"/>
          <w:szCs w:val="22"/>
        </w:rPr>
        <w:t>56.60</w:t>
      </w:r>
      <w:r w:rsidRPr="00E619C8">
        <w:rPr>
          <w:rFonts w:ascii="Arial" w:eastAsia="Arial" w:hAnsi="Arial" w:cs="Arial"/>
          <w:sz w:val="22"/>
          <w:szCs w:val="22"/>
        </w:rPr>
        <w:t xml:space="preserve">, which is </w:t>
      </w:r>
      <w:r w:rsidRPr="00E619C8">
        <w:rPr>
          <w:rFonts w:ascii="Arial" w:eastAsia="Arial" w:hAnsi="Arial" w:cs="Arial"/>
          <w:b/>
          <w:bCs/>
          <w:sz w:val="22"/>
          <w:szCs w:val="22"/>
        </w:rPr>
        <w:t>slightly below the international average of 60.56</w:t>
      </w:r>
      <w:r w:rsidRPr="00E619C8">
        <w:rPr>
          <w:rFonts w:ascii="Arial" w:eastAsia="Arial" w:hAnsi="Arial" w:cs="Arial"/>
          <w:sz w:val="22"/>
          <w:szCs w:val="22"/>
        </w:rPr>
        <w:t>. This suggests that while NTB has established key legal, institutional, and policy foundations for transparency, further strengthening is needed to reach international benchmarks.</w:t>
      </w:r>
    </w:p>
    <w:p w14:paraId="43C4A592" w14:textId="77777777" w:rsidR="002033A5" w:rsidRPr="00E619C8" w:rsidRDefault="00E113EC">
      <w:pP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For </w:t>
      </w:r>
      <w:r w:rsidRPr="00E619C8">
        <w:rPr>
          <w:rFonts w:ascii="Arial" w:eastAsia="Arial" w:hAnsi="Arial" w:cs="Arial"/>
          <w:b/>
          <w:bCs/>
          <w:sz w:val="22"/>
          <w:szCs w:val="22"/>
        </w:rPr>
        <w:t>Capacities and Processes</w:t>
      </w:r>
      <w:r w:rsidRPr="00E619C8">
        <w:rPr>
          <w:rFonts w:ascii="Arial" w:eastAsia="Arial" w:hAnsi="Arial" w:cs="Arial"/>
          <w:sz w:val="22"/>
          <w:szCs w:val="22"/>
        </w:rPr>
        <w:t xml:space="preserve">, Indonesia (NTB) records a score of </w:t>
      </w:r>
      <w:r w:rsidRPr="00E619C8">
        <w:rPr>
          <w:rFonts w:ascii="Arial" w:eastAsia="Arial" w:hAnsi="Arial" w:cs="Arial"/>
          <w:b/>
          <w:bCs/>
          <w:sz w:val="22"/>
          <w:szCs w:val="22"/>
        </w:rPr>
        <w:t>48.30</w:t>
      </w:r>
      <w:r w:rsidRPr="00E619C8">
        <w:rPr>
          <w:rFonts w:ascii="Arial" w:eastAsia="Arial" w:hAnsi="Arial" w:cs="Arial"/>
          <w:sz w:val="22"/>
          <w:szCs w:val="22"/>
        </w:rPr>
        <w:t xml:space="preserve">, which is </w:t>
      </w:r>
      <w:r w:rsidRPr="00E619C8">
        <w:rPr>
          <w:rFonts w:ascii="Arial" w:eastAsia="Arial" w:hAnsi="Arial" w:cs="Arial"/>
          <w:b/>
          <w:bCs/>
          <w:sz w:val="22"/>
          <w:szCs w:val="22"/>
        </w:rPr>
        <w:t>significantly above the international average of 36.49</w:t>
      </w:r>
      <w:r w:rsidRPr="00E619C8">
        <w:rPr>
          <w:rFonts w:ascii="Arial" w:eastAsia="Arial" w:hAnsi="Arial" w:cs="Arial"/>
          <w:sz w:val="22"/>
          <w:szCs w:val="22"/>
        </w:rPr>
        <w:t>. This indicates a relative strength in institutional capacity, internal processes, and operational readiness to support transparency in infrastructure delivery.</w:t>
      </w:r>
    </w:p>
    <w:p w14:paraId="6A10A343" w14:textId="5566CA13" w:rsidR="002033A5" w:rsidRPr="00E619C8" w:rsidRDefault="00E113EC">
      <w:pP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In contrast, </w:t>
      </w:r>
      <w:r w:rsidRPr="00E619C8">
        <w:rPr>
          <w:rFonts w:ascii="Arial" w:eastAsia="Arial" w:hAnsi="Arial" w:cs="Arial"/>
          <w:b/>
          <w:bCs/>
          <w:sz w:val="22"/>
          <w:szCs w:val="22"/>
        </w:rPr>
        <w:t>Citizen Participation</w:t>
      </w:r>
      <w:r w:rsidRPr="00E619C8">
        <w:rPr>
          <w:rFonts w:ascii="Arial" w:eastAsia="Arial" w:hAnsi="Arial" w:cs="Arial"/>
          <w:sz w:val="22"/>
          <w:szCs w:val="22"/>
        </w:rPr>
        <w:t xml:space="preserve"> remains a weaker area, with a score of </w:t>
      </w:r>
      <w:r w:rsidRPr="00E619C8">
        <w:rPr>
          <w:rFonts w:ascii="Arial" w:eastAsia="Arial" w:hAnsi="Arial" w:cs="Arial"/>
          <w:b/>
          <w:bCs/>
          <w:sz w:val="22"/>
          <w:szCs w:val="22"/>
        </w:rPr>
        <w:t>31.61</w:t>
      </w:r>
      <w:r w:rsidRPr="00E619C8">
        <w:rPr>
          <w:rFonts w:ascii="Arial" w:eastAsia="Arial" w:hAnsi="Arial" w:cs="Arial"/>
          <w:sz w:val="22"/>
          <w:szCs w:val="22"/>
        </w:rPr>
        <w:t xml:space="preserve">, marginally </w:t>
      </w:r>
      <w:r w:rsidRPr="00E619C8">
        <w:rPr>
          <w:rFonts w:ascii="Arial" w:eastAsia="Arial" w:hAnsi="Arial" w:cs="Arial"/>
          <w:b/>
          <w:bCs/>
          <w:sz w:val="22"/>
          <w:szCs w:val="22"/>
        </w:rPr>
        <w:t>below the international average of 32.71</w:t>
      </w:r>
      <w:r w:rsidRPr="00E619C8">
        <w:rPr>
          <w:rFonts w:ascii="Arial" w:eastAsia="Arial" w:hAnsi="Arial" w:cs="Arial"/>
          <w:sz w:val="22"/>
          <w:szCs w:val="22"/>
        </w:rPr>
        <w:t xml:space="preserve">. This reflects </w:t>
      </w:r>
      <w:r w:rsidR="008A1DCC">
        <w:rPr>
          <w:rFonts w:ascii="Arial" w:eastAsia="Arial" w:hAnsi="Arial" w:cs="Arial"/>
          <w:sz w:val="22"/>
          <w:szCs w:val="22"/>
        </w:rPr>
        <w:t>the limited institutionalisation</w:t>
      </w:r>
      <w:r w:rsidRPr="00E619C8">
        <w:rPr>
          <w:rFonts w:ascii="Arial" w:eastAsia="Arial" w:hAnsi="Arial" w:cs="Arial"/>
          <w:sz w:val="22"/>
          <w:szCs w:val="22"/>
        </w:rPr>
        <w:t xml:space="preserve"> of citizen engagement mechanisms and challenges in ensuring that public input meaningfully informs infrastructure decision-making.</w:t>
      </w:r>
    </w:p>
    <w:p w14:paraId="1B5425AC" w14:textId="72F085DA" w:rsidR="002033A5" w:rsidRPr="00E619C8" w:rsidRDefault="00E113EC">
      <w:pP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The largest gap is observed in </w:t>
      </w:r>
      <w:r w:rsidRPr="00E619C8">
        <w:rPr>
          <w:rFonts w:ascii="Arial" w:eastAsia="Arial" w:hAnsi="Arial" w:cs="Arial"/>
          <w:b/>
          <w:bCs/>
          <w:sz w:val="22"/>
          <w:szCs w:val="22"/>
        </w:rPr>
        <w:t>Information Disclosure</w:t>
      </w:r>
      <w:r w:rsidRPr="00E619C8">
        <w:rPr>
          <w:rFonts w:ascii="Arial" w:eastAsia="Arial" w:hAnsi="Arial" w:cs="Arial"/>
          <w:sz w:val="22"/>
          <w:szCs w:val="22"/>
        </w:rPr>
        <w:t xml:space="preserve">, where NTB scores </w:t>
      </w:r>
      <w:r w:rsidRPr="00E619C8">
        <w:rPr>
          <w:rFonts w:ascii="Arial" w:eastAsia="Arial" w:hAnsi="Arial" w:cs="Arial"/>
          <w:b/>
          <w:bCs/>
          <w:sz w:val="22"/>
          <w:szCs w:val="22"/>
        </w:rPr>
        <w:t>29.83</w:t>
      </w:r>
      <w:r w:rsidRPr="00E619C8">
        <w:rPr>
          <w:rFonts w:ascii="Arial" w:eastAsia="Arial" w:hAnsi="Arial" w:cs="Arial"/>
          <w:sz w:val="22"/>
          <w:szCs w:val="22"/>
        </w:rPr>
        <w:t xml:space="preserve">, substantially </w:t>
      </w:r>
      <w:r w:rsidRPr="00E619C8">
        <w:rPr>
          <w:rFonts w:ascii="Arial" w:eastAsia="Arial" w:hAnsi="Arial" w:cs="Arial"/>
          <w:b/>
          <w:bCs/>
          <w:sz w:val="22"/>
          <w:szCs w:val="22"/>
        </w:rPr>
        <w:t>below the international average of 42.73</w:t>
      </w:r>
      <w:r w:rsidRPr="00E619C8">
        <w:rPr>
          <w:rFonts w:ascii="Arial" w:eastAsia="Arial" w:hAnsi="Arial" w:cs="Arial"/>
          <w:sz w:val="22"/>
          <w:szCs w:val="22"/>
        </w:rPr>
        <w:t xml:space="preserve">. This result highlights persistent challenges related to data completeness, </w:t>
      </w:r>
      <w:r w:rsidR="008A1DCC">
        <w:rPr>
          <w:rFonts w:ascii="Arial" w:eastAsia="Arial" w:hAnsi="Arial" w:cs="Arial"/>
          <w:sz w:val="22"/>
          <w:szCs w:val="22"/>
        </w:rPr>
        <w:t>standardisation</w:t>
      </w:r>
      <w:r w:rsidRPr="00E619C8">
        <w:rPr>
          <w:rFonts w:ascii="Arial" w:eastAsia="Arial" w:hAnsi="Arial" w:cs="Arial"/>
          <w:sz w:val="22"/>
          <w:szCs w:val="22"/>
        </w:rPr>
        <w:t>, accessibility, and sustainability of disclosure practices.</w:t>
      </w:r>
    </w:p>
    <w:p w14:paraId="0635F348" w14:textId="4AEFAC8E" w:rsidR="002033A5" w:rsidRPr="00E619C8" w:rsidRDefault="00E113EC">
      <w:pP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Taken together, the dimension-level comparison shows that NTB’s overall ITI performance is constrained primarily by weaknesses in </w:t>
      </w:r>
      <w:r w:rsidRPr="00E619C8">
        <w:rPr>
          <w:rFonts w:ascii="Arial" w:eastAsia="Arial" w:hAnsi="Arial" w:cs="Arial"/>
          <w:b/>
          <w:bCs/>
          <w:sz w:val="22"/>
          <w:szCs w:val="22"/>
        </w:rPr>
        <w:t>Information Disclosure</w:t>
      </w:r>
      <w:r w:rsidRPr="00E619C8">
        <w:rPr>
          <w:rFonts w:ascii="Arial" w:eastAsia="Arial" w:hAnsi="Arial" w:cs="Arial"/>
          <w:sz w:val="22"/>
          <w:szCs w:val="22"/>
        </w:rPr>
        <w:t xml:space="preserve"> and </w:t>
      </w:r>
      <w:r w:rsidRPr="00E619C8">
        <w:rPr>
          <w:rFonts w:ascii="Arial" w:eastAsia="Arial" w:hAnsi="Arial" w:cs="Arial"/>
          <w:b/>
          <w:bCs/>
          <w:sz w:val="22"/>
          <w:szCs w:val="22"/>
        </w:rPr>
        <w:t>Citizen Participation</w:t>
      </w:r>
      <w:r w:rsidRPr="00E619C8">
        <w:rPr>
          <w:rFonts w:ascii="Arial" w:eastAsia="Arial" w:hAnsi="Arial" w:cs="Arial"/>
          <w:sz w:val="22"/>
          <w:szCs w:val="22"/>
        </w:rPr>
        <w:t xml:space="preserve">, despite comparatively strong performance in </w:t>
      </w:r>
      <w:r w:rsidRPr="00E619C8">
        <w:rPr>
          <w:rFonts w:ascii="Arial" w:eastAsia="Arial" w:hAnsi="Arial" w:cs="Arial"/>
          <w:b/>
          <w:bCs/>
          <w:sz w:val="22"/>
          <w:szCs w:val="22"/>
        </w:rPr>
        <w:t>Capacities and Processes</w:t>
      </w:r>
      <w:r w:rsidRPr="00E619C8">
        <w:rPr>
          <w:rFonts w:ascii="Arial" w:eastAsia="Arial" w:hAnsi="Arial" w:cs="Arial"/>
          <w:sz w:val="22"/>
          <w:szCs w:val="22"/>
        </w:rPr>
        <w:t>. Addressing these gaps will be critical for improving NTB’s standing relative to international peers and for advancing the impact of transparency reforms.</w:t>
      </w:r>
    </w:p>
    <w:p w14:paraId="5EC2C2AF" w14:textId="77777777" w:rsidR="002033A5" w:rsidRPr="00E619C8" w:rsidRDefault="00E113EC">
      <w:pPr>
        <w:keepNext/>
        <w:keepLines/>
        <w:pBdr>
          <w:top w:val="nil"/>
          <w:left w:val="nil"/>
          <w:bottom w:val="nil"/>
          <w:right w:val="nil"/>
          <w:between w:val="nil"/>
        </w:pBdr>
        <w:spacing w:before="240" w:after="160" w:line="300" w:lineRule="auto"/>
        <w:jc w:val="both"/>
        <w:rPr>
          <w:rFonts w:ascii="Arial" w:eastAsia="Arial" w:hAnsi="Arial" w:cs="Arial"/>
          <w:sz w:val="22"/>
          <w:szCs w:val="22"/>
        </w:rPr>
      </w:pPr>
      <w:bookmarkStart w:id="19" w:name="_heading=h.uq8z082az6j9" w:colFirst="0" w:colLast="0"/>
      <w:bookmarkEnd w:id="19"/>
      <w:r w:rsidRPr="00E619C8">
        <w:rPr>
          <w:rFonts w:ascii="Arial" w:eastAsia="Arial" w:hAnsi="Arial" w:cs="Arial"/>
          <w:b/>
          <w:bCs/>
          <w:color w:val="C00000"/>
          <w:sz w:val="22"/>
          <w:szCs w:val="22"/>
        </w:rPr>
        <w:t xml:space="preserve">3.1.2 Enabling environment </w:t>
      </w:r>
    </w:p>
    <w:p w14:paraId="70B38FE2" w14:textId="78433713" w:rsidR="002033A5" w:rsidRPr="00E619C8" w:rsidRDefault="001509E6" w:rsidP="001509E6">
      <w:pPr>
        <w:spacing w:after="160" w:line="300" w:lineRule="auto"/>
        <w:jc w:val="center"/>
        <w:rPr>
          <w:rFonts w:ascii="Arial" w:eastAsia="Arial" w:hAnsi="Arial" w:cs="Arial"/>
          <w:sz w:val="22"/>
          <w:szCs w:val="22"/>
        </w:rPr>
      </w:pPr>
      <w:r w:rsidRPr="00E619C8">
        <w:rPr>
          <w:noProof/>
        </w:rPr>
        <w:drawing>
          <wp:inline distT="0" distB="0" distL="0" distR="0" wp14:anchorId="45A4CEEF" wp14:editId="1A8E14D5">
            <wp:extent cx="4702629" cy="3243943"/>
            <wp:effectExtent l="0" t="0" r="9525" b="7620"/>
            <wp:docPr id="644384896" name="Chart 1">
              <a:extLst xmlns:a="http://schemas.openxmlformats.org/drawingml/2006/main">
                <a:ext uri="{FF2B5EF4-FFF2-40B4-BE49-F238E27FC236}">
                  <a16:creationId xmlns:a16="http://schemas.microsoft.com/office/drawing/2014/main" id="{BB52B88E-3780-DC0E-5A2D-B6C34DFEF280}"/>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14:paraId="33A3C8EA" w14:textId="1ED2154A" w:rsidR="002033A5" w:rsidRPr="00E619C8" w:rsidRDefault="00E113EC">
      <w:pPr>
        <w:spacing w:after="160" w:line="300" w:lineRule="auto"/>
        <w:jc w:val="center"/>
        <w:rPr>
          <w:rFonts w:ascii="Arial" w:eastAsia="Arial" w:hAnsi="Arial" w:cs="Arial"/>
          <w:sz w:val="22"/>
          <w:szCs w:val="22"/>
        </w:rPr>
      </w:pPr>
      <w:r w:rsidRPr="00E619C8">
        <w:rPr>
          <w:rFonts w:ascii="Arial" w:eastAsia="Arial" w:hAnsi="Arial" w:cs="Arial"/>
          <w:sz w:val="20"/>
          <w:szCs w:val="20"/>
        </w:rPr>
        <w:t xml:space="preserve">Figure 5. Dimension 1 and all indicators’ </w:t>
      </w:r>
      <w:r w:rsidR="00ED6EBE">
        <w:rPr>
          <w:rFonts w:ascii="Arial" w:eastAsia="Arial" w:hAnsi="Arial" w:cs="Arial"/>
          <w:sz w:val="20"/>
          <w:szCs w:val="20"/>
        </w:rPr>
        <w:t>scores</w:t>
      </w:r>
    </w:p>
    <w:p w14:paraId="2D5F7D92" w14:textId="246DA671"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Based on the assessment results as shown in Figure 5, the </w:t>
      </w:r>
      <w:r w:rsidRPr="00E619C8">
        <w:rPr>
          <w:rFonts w:ascii="Arial" w:eastAsia="Arial" w:hAnsi="Arial" w:cs="Arial"/>
          <w:b/>
          <w:bCs/>
          <w:sz w:val="22"/>
          <w:szCs w:val="22"/>
        </w:rPr>
        <w:t>Enabling Environment</w:t>
      </w:r>
      <w:r w:rsidRPr="00E619C8">
        <w:rPr>
          <w:rFonts w:ascii="Arial" w:eastAsia="Arial" w:hAnsi="Arial" w:cs="Arial"/>
          <w:sz w:val="22"/>
          <w:szCs w:val="22"/>
        </w:rPr>
        <w:t xml:space="preserve"> dimension records a total score of </w:t>
      </w:r>
      <w:r w:rsidRPr="00E619C8">
        <w:rPr>
          <w:rFonts w:ascii="Arial" w:eastAsia="Arial" w:hAnsi="Arial" w:cs="Arial"/>
          <w:b/>
          <w:bCs/>
          <w:sz w:val="22"/>
          <w:szCs w:val="22"/>
        </w:rPr>
        <w:t>56.60 out of 100</w:t>
      </w:r>
      <w:r w:rsidRPr="00E619C8">
        <w:rPr>
          <w:rFonts w:ascii="Arial" w:eastAsia="Arial" w:hAnsi="Arial" w:cs="Arial"/>
          <w:sz w:val="22"/>
          <w:szCs w:val="22"/>
        </w:rPr>
        <w:t>, indicating that the regulatory and institutional foundations for infrastructure transparency in NTB are moderately well established. The results show that the basic legal framework for access to public information is clearly defined at the national level, supported by enforcement mechanisms and the availability of digital information platforms at both national and sub-national levels.</w:t>
      </w:r>
    </w:p>
    <w:p w14:paraId="4361053C" w14:textId="08559771"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From a regulatory perspective, the right of citizens to access public information is guaranteed </w:t>
      </w:r>
      <w:r w:rsidR="00ED6EBE">
        <w:rPr>
          <w:rFonts w:ascii="Arial" w:eastAsia="Arial" w:hAnsi="Arial" w:cs="Arial"/>
          <w:sz w:val="22"/>
          <w:szCs w:val="22"/>
        </w:rPr>
        <w:t>by</w:t>
      </w:r>
      <w:r w:rsidRPr="00E619C8">
        <w:rPr>
          <w:rFonts w:ascii="Arial" w:eastAsia="Arial" w:hAnsi="Arial" w:cs="Arial"/>
          <w:sz w:val="22"/>
          <w:szCs w:val="22"/>
        </w:rPr>
        <w:t xml:space="preserve"> a comprehensive legal framework that applies across public</w:t>
      </w:r>
      <w:r w:rsidR="00ED6EBE">
        <w:rPr>
          <w:rFonts w:ascii="Arial" w:eastAsia="Arial" w:hAnsi="Arial" w:cs="Arial"/>
          <w:sz w:val="22"/>
          <w:szCs w:val="22"/>
        </w:rPr>
        <w:t>-</w:t>
      </w:r>
      <w:r w:rsidRPr="00E619C8">
        <w:rPr>
          <w:rFonts w:ascii="Arial" w:eastAsia="Arial" w:hAnsi="Arial" w:cs="Arial"/>
          <w:sz w:val="22"/>
          <w:szCs w:val="22"/>
        </w:rPr>
        <w:t xml:space="preserve">sector institutions. This framework establishes clear procedures, timelines, and sanctions for non-compliance, which provides legal certainty and strengthens accountability. In addition, the existence of </w:t>
      </w:r>
      <w:r w:rsidR="00ED6EBE">
        <w:rPr>
          <w:rFonts w:ascii="Arial" w:eastAsia="Arial" w:hAnsi="Arial" w:cs="Arial"/>
          <w:sz w:val="22"/>
          <w:szCs w:val="22"/>
        </w:rPr>
        <w:t>centralised</w:t>
      </w:r>
      <w:r w:rsidRPr="00E619C8">
        <w:rPr>
          <w:rFonts w:ascii="Arial" w:eastAsia="Arial" w:hAnsi="Arial" w:cs="Arial"/>
          <w:sz w:val="22"/>
          <w:szCs w:val="22"/>
        </w:rPr>
        <w:t xml:space="preserve"> digital information platforms contributes to improving public access to infrastructure-related information, although their scope and functionality remain uneven.</w:t>
      </w:r>
    </w:p>
    <w:p w14:paraId="7C12954D" w14:textId="4190BF5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To further clarify the factors influencing this dimension, several key indicators </w:t>
      </w:r>
      <w:r w:rsidR="00ED6EBE">
        <w:rPr>
          <w:rFonts w:ascii="Arial" w:eastAsia="Arial" w:hAnsi="Arial" w:cs="Arial"/>
          <w:sz w:val="22"/>
          <w:szCs w:val="22"/>
        </w:rPr>
        <w:t>are highlighted below</w:t>
      </w:r>
      <w:r w:rsidRPr="00E619C8">
        <w:rPr>
          <w:rFonts w:ascii="Arial" w:eastAsia="Arial" w:hAnsi="Arial" w:cs="Arial"/>
          <w:sz w:val="22"/>
          <w:szCs w:val="22"/>
        </w:rPr>
        <w:t>.</w:t>
      </w:r>
    </w:p>
    <w:p w14:paraId="6FF6A840" w14:textId="77777777" w:rsidR="002033A5" w:rsidRPr="00E619C8" w:rsidRDefault="00E113EC">
      <w:pPr>
        <w:spacing w:before="240" w:after="240" w:line="300" w:lineRule="auto"/>
        <w:jc w:val="both"/>
        <w:rPr>
          <w:rFonts w:ascii="Arial" w:eastAsia="Arial" w:hAnsi="Arial" w:cs="Arial"/>
          <w:b/>
          <w:bCs/>
          <w:sz w:val="22"/>
          <w:szCs w:val="22"/>
        </w:rPr>
      </w:pPr>
      <w:r w:rsidRPr="00E619C8">
        <w:rPr>
          <w:rFonts w:ascii="Arial" w:eastAsia="Arial" w:hAnsi="Arial" w:cs="Arial"/>
          <w:b/>
          <w:bCs/>
          <w:sz w:val="22"/>
          <w:szCs w:val="22"/>
        </w:rPr>
        <w:t>A. Indicators with the highest scores</w:t>
      </w:r>
    </w:p>
    <w:p w14:paraId="32F49061" w14:textId="77777777" w:rsidR="007F3E4C" w:rsidRPr="00E619C8" w:rsidRDefault="00E113EC" w:rsidP="007F3E4C">
      <w:pPr>
        <w:numPr>
          <w:ilvl w:val="0"/>
          <w:numId w:val="31"/>
        </w:numPr>
        <w:spacing w:before="240" w:line="300" w:lineRule="auto"/>
        <w:jc w:val="both"/>
        <w:rPr>
          <w:rFonts w:ascii="Arial" w:eastAsia="Arial" w:hAnsi="Arial" w:cs="Arial"/>
          <w:sz w:val="22"/>
          <w:szCs w:val="22"/>
        </w:rPr>
      </w:pPr>
      <w:r w:rsidRPr="00E619C8">
        <w:rPr>
          <w:rFonts w:ascii="Arial" w:eastAsia="Arial" w:hAnsi="Arial" w:cs="Arial"/>
          <w:sz w:val="22"/>
          <w:szCs w:val="22"/>
        </w:rPr>
        <w:t>Access-to-public information regulatory framework – 100 points</w:t>
      </w:r>
    </w:p>
    <w:p w14:paraId="64A19410" w14:textId="7C250317" w:rsidR="002033A5" w:rsidRPr="00E619C8" w:rsidRDefault="00E113EC" w:rsidP="007F3E4C">
      <w:pPr>
        <w:spacing w:line="300" w:lineRule="auto"/>
        <w:ind w:left="720"/>
        <w:jc w:val="both"/>
        <w:rPr>
          <w:rFonts w:ascii="Arial" w:eastAsia="Arial" w:hAnsi="Arial" w:cs="Arial"/>
          <w:sz w:val="22"/>
          <w:szCs w:val="22"/>
        </w:rPr>
      </w:pPr>
      <w:r w:rsidRPr="00E619C8">
        <w:rPr>
          <w:rFonts w:ascii="Arial" w:eastAsia="Arial" w:hAnsi="Arial" w:cs="Arial"/>
          <w:sz w:val="22"/>
          <w:szCs w:val="22"/>
        </w:rPr>
        <w:t>This indicator confirms the existence of a strong national legal framework guaranteeing public access to information held by public authorities.</w:t>
      </w:r>
    </w:p>
    <w:p w14:paraId="3918054F" w14:textId="77777777" w:rsidR="007F3E4C" w:rsidRPr="00E619C8" w:rsidRDefault="00E113EC" w:rsidP="007F3E4C">
      <w:pPr>
        <w:numPr>
          <w:ilvl w:val="0"/>
          <w:numId w:val="31"/>
        </w:numPr>
        <w:spacing w:line="300" w:lineRule="auto"/>
        <w:jc w:val="both"/>
        <w:rPr>
          <w:rFonts w:ascii="Arial" w:eastAsia="Arial" w:hAnsi="Arial" w:cs="Arial"/>
          <w:sz w:val="22"/>
          <w:szCs w:val="22"/>
        </w:rPr>
      </w:pPr>
      <w:r w:rsidRPr="00E619C8">
        <w:rPr>
          <w:rFonts w:ascii="Arial" w:eastAsia="Arial" w:hAnsi="Arial" w:cs="Arial"/>
          <w:sz w:val="22"/>
          <w:szCs w:val="22"/>
        </w:rPr>
        <w:t>Sanctions over non-compliance with access to public information mandates – 100 points</w:t>
      </w:r>
    </w:p>
    <w:p w14:paraId="25BA0A8C" w14:textId="69907E04" w:rsidR="002033A5" w:rsidRPr="00E619C8" w:rsidRDefault="00E113EC" w:rsidP="007F3E4C">
      <w:pPr>
        <w:spacing w:line="300" w:lineRule="auto"/>
        <w:ind w:left="720"/>
        <w:jc w:val="both"/>
        <w:rPr>
          <w:rFonts w:ascii="Arial" w:eastAsia="Arial" w:hAnsi="Arial" w:cs="Arial"/>
          <w:sz w:val="22"/>
          <w:szCs w:val="22"/>
        </w:rPr>
      </w:pPr>
      <w:r w:rsidRPr="00E619C8">
        <w:rPr>
          <w:rFonts w:ascii="Arial" w:eastAsia="Arial" w:hAnsi="Arial" w:cs="Arial"/>
          <w:sz w:val="22"/>
          <w:szCs w:val="22"/>
        </w:rPr>
        <w:t>The presence of formal sanctions demonstrates a clear commitment to enforcing transparency obligations.</w:t>
      </w:r>
    </w:p>
    <w:p w14:paraId="00F5B35E" w14:textId="77777777" w:rsidR="007F3E4C" w:rsidRPr="00E619C8" w:rsidRDefault="00E113EC" w:rsidP="007F3E4C">
      <w:pPr>
        <w:numPr>
          <w:ilvl w:val="0"/>
          <w:numId w:val="31"/>
        </w:numPr>
        <w:spacing w:line="300" w:lineRule="auto"/>
        <w:jc w:val="both"/>
        <w:rPr>
          <w:rFonts w:ascii="Arial" w:eastAsia="Arial" w:hAnsi="Arial" w:cs="Arial"/>
          <w:sz w:val="22"/>
          <w:szCs w:val="22"/>
        </w:rPr>
      </w:pPr>
      <w:r w:rsidRPr="00E619C8">
        <w:rPr>
          <w:rFonts w:ascii="Arial" w:eastAsia="Arial" w:hAnsi="Arial" w:cs="Arial"/>
          <w:sz w:val="22"/>
          <w:szCs w:val="22"/>
        </w:rPr>
        <w:t>Right to request public information – 80 points</w:t>
      </w:r>
    </w:p>
    <w:p w14:paraId="6D336370" w14:textId="6CEED9C3" w:rsidR="002033A5" w:rsidRPr="00E619C8" w:rsidRDefault="00E113EC" w:rsidP="007F3E4C">
      <w:pPr>
        <w:spacing w:line="300" w:lineRule="auto"/>
        <w:ind w:left="720"/>
        <w:jc w:val="both"/>
        <w:rPr>
          <w:rFonts w:ascii="Arial" w:eastAsia="Arial" w:hAnsi="Arial" w:cs="Arial"/>
          <w:sz w:val="22"/>
          <w:szCs w:val="22"/>
        </w:rPr>
      </w:pPr>
      <w:r w:rsidRPr="00E619C8">
        <w:rPr>
          <w:rFonts w:ascii="Arial" w:eastAsia="Arial" w:hAnsi="Arial" w:cs="Arial"/>
          <w:sz w:val="22"/>
          <w:szCs w:val="22"/>
        </w:rPr>
        <w:t>Citizens are legally entitled to request information without providing justification, with defined response timelines applicable to all public institutions.</w:t>
      </w:r>
    </w:p>
    <w:p w14:paraId="024AFCB4" w14:textId="77777777" w:rsidR="007F3E4C" w:rsidRPr="00E619C8" w:rsidRDefault="00E113EC" w:rsidP="007F3E4C">
      <w:pPr>
        <w:numPr>
          <w:ilvl w:val="0"/>
          <w:numId w:val="31"/>
        </w:numPr>
        <w:spacing w:line="300" w:lineRule="auto"/>
        <w:jc w:val="both"/>
        <w:rPr>
          <w:rFonts w:ascii="Arial" w:eastAsia="Arial" w:hAnsi="Arial" w:cs="Arial"/>
          <w:sz w:val="22"/>
          <w:szCs w:val="22"/>
        </w:rPr>
      </w:pPr>
      <w:r w:rsidRPr="00E619C8">
        <w:rPr>
          <w:rFonts w:ascii="Arial" w:eastAsia="Arial" w:hAnsi="Arial" w:cs="Arial"/>
          <w:sz w:val="22"/>
          <w:szCs w:val="22"/>
        </w:rPr>
        <w:t>Easy access to information on digital information platforms – 80 points</w:t>
      </w:r>
    </w:p>
    <w:p w14:paraId="677AC3EF" w14:textId="7604770D" w:rsidR="002033A5" w:rsidRPr="00E619C8" w:rsidRDefault="00E113EC" w:rsidP="007F3E4C">
      <w:pPr>
        <w:spacing w:after="240" w:line="300" w:lineRule="auto"/>
        <w:ind w:left="720"/>
        <w:jc w:val="both"/>
        <w:rPr>
          <w:rFonts w:ascii="Arial" w:eastAsia="Arial" w:hAnsi="Arial" w:cs="Arial"/>
          <w:sz w:val="22"/>
          <w:szCs w:val="22"/>
        </w:rPr>
      </w:pPr>
      <w:r w:rsidRPr="00E619C8">
        <w:rPr>
          <w:rFonts w:ascii="Arial" w:eastAsia="Arial" w:hAnsi="Arial" w:cs="Arial"/>
          <w:sz w:val="22"/>
          <w:szCs w:val="22"/>
        </w:rPr>
        <w:t>Existing digital platforms provide relatively easy access to information, including structured and downloadable data, although not yet fully comprehensive.</w:t>
      </w:r>
    </w:p>
    <w:p w14:paraId="6BBB9897" w14:textId="77777777" w:rsidR="002033A5" w:rsidRPr="00E619C8" w:rsidRDefault="00E113EC">
      <w:pPr>
        <w:spacing w:before="240" w:after="240" w:line="300" w:lineRule="auto"/>
        <w:jc w:val="both"/>
        <w:rPr>
          <w:rFonts w:ascii="Arial" w:eastAsia="Arial" w:hAnsi="Arial" w:cs="Arial"/>
          <w:b/>
          <w:bCs/>
          <w:sz w:val="22"/>
          <w:szCs w:val="22"/>
        </w:rPr>
      </w:pPr>
      <w:r w:rsidRPr="00E619C8">
        <w:rPr>
          <w:rFonts w:ascii="Arial" w:eastAsia="Arial" w:hAnsi="Arial" w:cs="Arial"/>
          <w:b/>
          <w:bCs/>
          <w:sz w:val="22"/>
          <w:szCs w:val="22"/>
        </w:rPr>
        <w:t>B. Indicators with the lowest scores</w:t>
      </w:r>
    </w:p>
    <w:p w14:paraId="16D9C0DC" w14:textId="3493AC53" w:rsidR="002033A5" w:rsidRPr="00E619C8" w:rsidRDefault="00E113EC">
      <w:pPr>
        <w:numPr>
          <w:ilvl w:val="0"/>
          <w:numId w:val="8"/>
        </w:numPr>
        <w:spacing w:before="240" w:line="300" w:lineRule="auto"/>
        <w:rPr>
          <w:rFonts w:ascii="Arial" w:eastAsia="Arial" w:hAnsi="Arial" w:cs="Arial"/>
          <w:sz w:val="22"/>
          <w:szCs w:val="22"/>
        </w:rPr>
      </w:pPr>
      <w:r w:rsidRPr="00E619C8">
        <w:rPr>
          <w:rFonts w:ascii="Arial" w:eastAsia="Arial" w:hAnsi="Arial" w:cs="Arial"/>
          <w:sz w:val="22"/>
          <w:szCs w:val="22"/>
        </w:rPr>
        <w:t>Infrastructure projects geographic information system (GIS) – 0 points</w:t>
      </w:r>
      <w:r w:rsidRPr="00E619C8">
        <w:rPr>
          <w:rFonts w:ascii="Arial" w:eastAsia="Arial" w:hAnsi="Arial" w:cs="Arial"/>
          <w:sz w:val="22"/>
          <w:szCs w:val="22"/>
        </w:rPr>
        <w:br/>
        <w:t xml:space="preserve">The absence of a GIS-based platform significantly limits spatial transparency and the public’s ability to </w:t>
      </w:r>
      <w:r w:rsidR="00ED6EBE">
        <w:rPr>
          <w:rFonts w:ascii="Arial" w:eastAsia="Arial" w:hAnsi="Arial" w:cs="Arial"/>
          <w:sz w:val="22"/>
          <w:szCs w:val="22"/>
        </w:rPr>
        <w:t>visualise</w:t>
      </w:r>
      <w:r w:rsidRPr="00E619C8">
        <w:rPr>
          <w:rFonts w:ascii="Arial" w:eastAsia="Arial" w:hAnsi="Arial" w:cs="Arial"/>
          <w:sz w:val="22"/>
          <w:szCs w:val="22"/>
        </w:rPr>
        <w:t xml:space="preserve"> and monitor infrastructure projects geographically.</w:t>
      </w:r>
    </w:p>
    <w:p w14:paraId="3AC86FE5" w14:textId="24B07489" w:rsidR="002033A5" w:rsidRPr="00E619C8" w:rsidRDefault="00E113EC">
      <w:pPr>
        <w:numPr>
          <w:ilvl w:val="0"/>
          <w:numId w:val="8"/>
        </w:numPr>
        <w:spacing w:line="300" w:lineRule="auto"/>
        <w:rPr>
          <w:rFonts w:ascii="Arial" w:eastAsia="Arial" w:hAnsi="Arial" w:cs="Arial"/>
          <w:sz w:val="22"/>
          <w:szCs w:val="22"/>
        </w:rPr>
      </w:pPr>
      <w:r w:rsidRPr="00E619C8">
        <w:rPr>
          <w:rFonts w:ascii="Arial" w:eastAsia="Arial" w:hAnsi="Arial" w:cs="Arial"/>
          <w:sz w:val="22"/>
          <w:szCs w:val="22"/>
        </w:rPr>
        <w:t>Infrastructure data disclosure standard – 0 points</w:t>
      </w:r>
      <w:r w:rsidRPr="00E619C8">
        <w:rPr>
          <w:rFonts w:ascii="Arial" w:eastAsia="Arial" w:hAnsi="Arial" w:cs="Arial"/>
          <w:sz w:val="22"/>
          <w:szCs w:val="22"/>
        </w:rPr>
        <w:br/>
        <w:t>There is no formal</w:t>
      </w:r>
      <w:r w:rsidR="00C244B8">
        <w:rPr>
          <w:rFonts w:ascii="Arial" w:eastAsia="Arial" w:hAnsi="Arial" w:cs="Arial"/>
          <w:sz w:val="22"/>
          <w:szCs w:val="22"/>
        </w:rPr>
        <w:t>, mandatory infrastructure data disclosure standard applicable to</w:t>
      </w:r>
      <w:r w:rsidRPr="00E619C8">
        <w:rPr>
          <w:rFonts w:ascii="Arial" w:eastAsia="Arial" w:hAnsi="Arial" w:cs="Arial"/>
          <w:sz w:val="22"/>
          <w:szCs w:val="22"/>
        </w:rPr>
        <w:t xml:space="preserve"> all procuring entities and projects.</w:t>
      </w:r>
    </w:p>
    <w:p w14:paraId="367971F8" w14:textId="4FCA32A5" w:rsidR="002033A5" w:rsidRPr="00E619C8" w:rsidRDefault="00E113EC">
      <w:pPr>
        <w:numPr>
          <w:ilvl w:val="0"/>
          <w:numId w:val="8"/>
        </w:numPr>
        <w:spacing w:line="300" w:lineRule="auto"/>
        <w:rPr>
          <w:rFonts w:ascii="Arial" w:eastAsia="Arial" w:hAnsi="Arial" w:cs="Arial"/>
          <w:sz w:val="22"/>
          <w:szCs w:val="22"/>
        </w:rPr>
      </w:pPr>
      <w:r w:rsidRPr="00E619C8">
        <w:rPr>
          <w:rFonts w:ascii="Arial" w:eastAsia="Arial" w:hAnsi="Arial" w:cs="Arial"/>
          <w:sz w:val="22"/>
          <w:szCs w:val="22"/>
        </w:rPr>
        <w:t>Infrastructure data disclosure standard requesting open data – 0 points</w:t>
      </w:r>
      <w:r w:rsidRPr="00E619C8">
        <w:rPr>
          <w:rFonts w:ascii="Arial" w:eastAsia="Arial" w:hAnsi="Arial" w:cs="Arial"/>
          <w:sz w:val="22"/>
          <w:szCs w:val="22"/>
        </w:rPr>
        <w:br/>
        <w:t>The lack of open data requirements reduces the usability and analytical value of published infrastructure information.</w:t>
      </w:r>
    </w:p>
    <w:p w14:paraId="6C15FF66" w14:textId="77777777" w:rsidR="002033A5" w:rsidRPr="00E619C8" w:rsidRDefault="00E113EC">
      <w:pPr>
        <w:numPr>
          <w:ilvl w:val="0"/>
          <w:numId w:val="8"/>
        </w:numPr>
        <w:spacing w:after="240" w:line="300" w:lineRule="auto"/>
        <w:rPr>
          <w:rFonts w:ascii="Arial" w:eastAsia="Arial" w:hAnsi="Arial" w:cs="Arial"/>
          <w:sz w:val="22"/>
          <w:szCs w:val="22"/>
        </w:rPr>
      </w:pPr>
      <w:r w:rsidRPr="00E619C8">
        <w:rPr>
          <w:rFonts w:ascii="Arial" w:eastAsia="Arial" w:hAnsi="Arial" w:cs="Arial"/>
          <w:sz w:val="22"/>
          <w:szCs w:val="22"/>
        </w:rPr>
        <w:t>Organisation responsible for overseeing the infrastructure data disclosure standard – 60 points</w:t>
      </w:r>
      <w:r w:rsidRPr="00E619C8">
        <w:rPr>
          <w:rFonts w:ascii="Arial" w:eastAsia="Arial" w:hAnsi="Arial" w:cs="Arial"/>
          <w:sz w:val="22"/>
          <w:szCs w:val="22"/>
        </w:rPr>
        <w:br/>
        <w:t>While an institutional arrangement exists, its effectiveness is constrained by the absence of a clearly mandated and enforceable disclosure standard.</w:t>
      </w:r>
    </w:p>
    <w:p w14:paraId="22F3D0C3" w14:textId="5ED55B6F"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The lowest-scoring indicators highlight structural weaknesses rather than regulatory intent. In particular, the absence of a GIS-based system reflects the lack of advanced digital tools needed to present infrastructure information in an accessible and user-friendly manner. Similarly, the lack of </w:t>
      </w:r>
      <w:r w:rsidR="00C244B8">
        <w:rPr>
          <w:rFonts w:ascii="Arial" w:eastAsia="Arial" w:hAnsi="Arial" w:cs="Arial"/>
          <w:sz w:val="22"/>
          <w:szCs w:val="22"/>
        </w:rPr>
        <w:t>standardised</w:t>
      </w:r>
      <w:r w:rsidRPr="00E619C8">
        <w:rPr>
          <w:rFonts w:ascii="Arial" w:eastAsia="Arial" w:hAnsi="Arial" w:cs="Arial"/>
          <w:sz w:val="22"/>
          <w:szCs w:val="22"/>
        </w:rPr>
        <w:t xml:space="preserve"> infrastructure data disclosure frameworks results in fragmented, inconsistent, and difficult-to-compare information across institutions and projects.</w:t>
      </w:r>
    </w:p>
    <w:p w14:paraId="7E9C811C" w14:textId="7CA02F1A"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Overall, the Enabling Environment assessment indicates that NTB has made significant progress in establishing general transparency regulations and enforcement mechanisms. However, to fully leverage this legal foundation, further efforts are required to </w:t>
      </w:r>
      <w:r w:rsidR="00C244B8">
        <w:rPr>
          <w:rFonts w:ascii="Arial" w:eastAsia="Arial" w:hAnsi="Arial" w:cs="Arial"/>
          <w:sz w:val="22"/>
          <w:szCs w:val="22"/>
        </w:rPr>
        <w:t>institutionalise</w:t>
      </w:r>
      <w:r w:rsidRPr="00E619C8">
        <w:rPr>
          <w:rFonts w:ascii="Arial" w:eastAsia="Arial" w:hAnsi="Arial" w:cs="Arial"/>
          <w:sz w:val="22"/>
          <w:szCs w:val="22"/>
        </w:rPr>
        <w:t xml:space="preserve"> infrastructure-specific data disclosure standards, strengthen open data provisions, and develop advanced digital tools. Addressing these gaps would substantially enhance the effectiveness of transparency measures and support improved public oversight of infrastructure development in NTB.</w:t>
      </w:r>
    </w:p>
    <w:p w14:paraId="5511F8D2" w14:textId="77777777" w:rsidR="002033A5" w:rsidRPr="00E619C8" w:rsidRDefault="00E113EC">
      <w:pPr>
        <w:keepNext/>
        <w:keepLines/>
        <w:pBdr>
          <w:top w:val="nil"/>
          <w:left w:val="nil"/>
          <w:bottom w:val="nil"/>
          <w:right w:val="nil"/>
          <w:between w:val="nil"/>
        </w:pBdr>
        <w:spacing w:before="240" w:after="160" w:line="300" w:lineRule="auto"/>
        <w:jc w:val="both"/>
        <w:rPr>
          <w:rFonts w:ascii="Arial" w:eastAsia="Arial" w:hAnsi="Arial" w:cs="Arial"/>
          <w:sz w:val="22"/>
          <w:szCs w:val="22"/>
        </w:rPr>
      </w:pPr>
      <w:bookmarkStart w:id="20" w:name="_heading=h.mzy8auafdvwh" w:colFirst="0" w:colLast="0"/>
      <w:bookmarkEnd w:id="20"/>
      <w:r w:rsidRPr="00E619C8">
        <w:rPr>
          <w:rFonts w:ascii="Arial" w:eastAsia="Arial" w:hAnsi="Arial" w:cs="Arial"/>
          <w:b/>
          <w:bCs/>
          <w:color w:val="C00000"/>
          <w:sz w:val="22"/>
          <w:szCs w:val="22"/>
        </w:rPr>
        <w:t>3.1.3 Capacities and processes</w:t>
      </w:r>
    </w:p>
    <w:p w14:paraId="2D836E7A" w14:textId="29C719A2"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The </w:t>
      </w:r>
      <w:r w:rsidRPr="00E619C8">
        <w:rPr>
          <w:rFonts w:ascii="Arial" w:eastAsia="Arial" w:hAnsi="Arial" w:cs="Arial"/>
          <w:b/>
          <w:bCs/>
          <w:sz w:val="22"/>
          <w:szCs w:val="22"/>
        </w:rPr>
        <w:t>Capacities and Processes</w:t>
      </w:r>
      <w:r w:rsidRPr="00E619C8">
        <w:rPr>
          <w:rFonts w:ascii="Arial" w:eastAsia="Arial" w:hAnsi="Arial" w:cs="Arial"/>
          <w:sz w:val="22"/>
          <w:szCs w:val="22"/>
        </w:rPr>
        <w:t xml:space="preserve"> dimension records a total score of </w:t>
      </w:r>
      <w:r w:rsidRPr="00E619C8">
        <w:rPr>
          <w:rFonts w:ascii="Arial" w:eastAsia="Arial" w:hAnsi="Arial" w:cs="Arial"/>
          <w:b/>
          <w:bCs/>
          <w:sz w:val="22"/>
          <w:szCs w:val="22"/>
        </w:rPr>
        <w:t>48.30 out of 100</w:t>
      </w:r>
      <w:r w:rsidRPr="00E619C8">
        <w:rPr>
          <w:rFonts w:ascii="Arial" w:eastAsia="Arial" w:hAnsi="Arial" w:cs="Arial"/>
          <w:sz w:val="22"/>
          <w:szCs w:val="22"/>
        </w:rPr>
        <w:t xml:space="preserve">, indicating a moderate level of institutional readiness to manage, disclose, and oversee infrastructure data and information. Figure 6 shows that performance across sub-variables is uneven, with relatively strong results in </w:t>
      </w:r>
      <w:r w:rsidRPr="00E619C8">
        <w:rPr>
          <w:rFonts w:ascii="Arial" w:eastAsia="Arial" w:hAnsi="Arial" w:cs="Arial"/>
          <w:b/>
          <w:bCs/>
          <w:sz w:val="22"/>
          <w:szCs w:val="22"/>
        </w:rPr>
        <w:t>digital capacities</w:t>
      </w:r>
      <w:r w:rsidRPr="00E619C8">
        <w:rPr>
          <w:rFonts w:ascii="Arial" w:eastAsia="Arial" w:hAnsi="Arial" w:cs="Arial"/>
          <w:sz w:val="22"/>
          <w:szCs w:val="22"/>
        </w:rPr>
        <w:t xml:space="preserve"> and </w:t>
      </w:r>
      <w:r w:rsidRPr="00E619C8">
        <w:rPr>
          <w:rFonts w:ascii="Arial" w:eastAsia="Arial" w:hAnsi="Arial" w:cs="Arial"/>
          <w:b/>
          <w:bCs/>
          <w:sz w:val="22"/>
          <w:szCs w:val="22"/>
        </w:rPr>
        <w:t xml:space="preserve">procedures </w:t>
      </w:r>
      <w:r w:rsidR="00C244B8">
        <w:rPr>
          <w:rFonts w:ascii="Arial" w:eastAsia="Arial" w:hAnsi="Arial" w:cs="Arial"/>
          <w:b/>
          <w:bCs/>
          <w:sz w:val="22"/>
          <w:szCs w:val="22"/>
        </w:rPr>
        <w:t xml:space="preserve">for disclosing information, while weaknesses persist in control mechanisms and enablers </w:t>
      </w:r>
      <w:r w:rsidR="006560F0">
        <w:rPr>
          <w:rFonts w:ascii="Arial" w:eastAsia="Arial" w:hAnsi="Arial" w:cs="Arial"/>
          <w:b/>
          <w:bCs/>
          <w:sz w:val="22"/>
          <w:szCs w:val="22"/>
        </w:rPr>
        <w:t>of disclosure</w:t>
      </w:r>
      <w:r w:rsidRPr="00E619C8">
        <w:rPr>
          <w:rFonts w:ascii="Arial" w:eastAsia="Arial" w:hAnsi="Arial" w:cs="Arial"/>
          <w:sz w:val="22"/>
          <w:szCs w:val="22"/>
        </w:rPr>
        <w:t>.</w:t>
      </w:r>
    </w:p>
    <w:p w14:paraId="2631FE29" w14:textId="5E1DE899" w:rsidR="002033A5" w:rsidRPr="00E619C8" w:rsidRDefault="001509E6">
      <w:pPr>
        <w:spacing w:before="240" w:after="240" w:line="300" w:lineRule="auto"/>
        <w:jc w:val="both"/>
        <w:rPr>
          <w:rFonts w:ascii="Arial" w:eastAsia="Arial" w:hAnsi="Arial" w:cs="Arial"/>
          <w:sz w:val="22"/>
          <w:szCs w:val="22"/>
        </w:rPr>
      </w:pPr>
      <w:r w:rsidRPr="00E619C8">
        <w:rPr>
          <w:noProof/>
        </w:rPr>
        <w:drawing>
          <wp:inline distT="0" distB="0" distL="0" distR="0" wp14:anchorId="3C711185" wp14:editId="2113AA5B">
            <wp:extent cx="5760085" cy="3385457"/>
            <wp:effectExtent l="0" t="0" r="18415" b="18415"/>
            <wp:docPr id="171214646" name="Chart 1">
              <a:extLst xmlns:a="http://schemas.openxmlformats.org/drawingml/2006/main">
                <a:ext uri="{FF2B5EF4-FFF2-40B4-BE49-F238E27FC236}">
                  <a16:creationId xmlns:a16="http://schemas.microsoft.com/office/drawing/2014/main" id="{923A4061-7364-2ECF-16AD-DD5EE490EC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66F03B71" w14:textId="77777777" w:rsidR="002033A5" w:rsidRPr="00E619C8" w:rsidRDefault="00E113EC">
      <w:pPr>
        <w:spacing w:before="240" w:after="240" w:line="300" w:lineRule="auto"/>
        <w:jc w:val="center"/>
        <w:rPr>
          <w:rFonts w:ascii="Arial" w:eastAsia="Arial" w:hAnsi="Arial" w:cs="Arial"/>
          <w:sz w:val="22"/>
          <w:szCs w:val="22"/>
        </w:rPr>
      </w:pPr>
      <w:r w:rsidRPr="00E619C8">
        <w:rPr>
          <w:rFonts w:ascii="Arial" w:eastAsia="Arial" w:hAnsi="Arial" w:cs="Arial"/>
          <w:sz w:val="22"/>
          <w:szCs w:val="22"/>
        </w:rPr>
        <w:t>Figure 6. Dimension 2: Capacities and Processes’ Score</w:t>
      </w:r>
    </w:p>
    <w:p w14:paraId="29254202" w14:textId="1F5DA2E3"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The strongest sub-variable is </w:t>
      </w:r>
      <w:r w:rsidRPr="00E619C8">
        <w:rPr>
          <w:rFonts w:ascii="Arial" w:eastAsia="Arial" w:hAnsi="Arial" w:cs="Arial"/>
          <w:b/>
          <w:bCs/>
          <w:sz w:val="22"/>
          <w:szCs w:val="22"/>
        </w:rPr>
        <w:t>Digital capacities</w:t>
      </w:r>
      <w:r w:rsidRPr="00E619C8">
        <w:rPr>
          <w:rFonts w:ascii="Arial" w:eastAsia="Arial" w:hAnsi="Arial" w:cs="Arial"/>
          <w:sz w:val="22"/>
          <w:szCs w:val="22"/>
        </w:rPr>
        <w:t xml:space="preserve">, which scores </w:t>
      </w:r>
      <w:r w:rsidRPr="00E619C8">
        <w:rPr>
          <w:rFonts w:ascii="Arial" w:eastAsia="Arial" w:hAnsi="Arial" w:cs="Arial"/>
          <w:b/>
          <w:bCs/>
          <w:sz w:val="22"/>
          <w:szCs w:val="22"/>
        </w:rPr>
        <w:t>68.42</w:t>
      </w:r>
      <w:r w:rsidRPr="00E619C8">
        <w:rPr>
          <w:rFonts w:ascii="Arial" w:eastAsia="Arial" w:hAnsi="Arial" w:cs="Arial"/>
          <w:sz w:val="22"/>
          <w:szCs w:val="22"/>
        </w:rPr>
        <w:t xml:space="preserve">, reflecting the availability of basic digital infrastructure within public institutions. Indicators related to </w:t>
      </w:r>
      <w:r w:rsidRPr="00E619C8">
        <w:rPr>
          <w:rFonts w:ascii="Arial" w:eastAsia="Arial" w:hAnsi="Arial" w:cs="Arial"/>
          <w:b/>
          <w:bCs/>
          <w:sz w:val="22"/>
          <w:szCs w:val="22"/>
        </w:rPr>
        <w:t>computer equipment (69.47)</w:t>
      </w:r>
      <w:r w:rsidRPr="00E619C8">
        <w:rPr>
          <w:rFonts w:ascii="Arial" w:eastAsia="Arial" w:hAnsi="Arial" w:cs="Arial"/>
          <w:sz w:val="22"/>
          <w:szCs w:val="22"/>
        </w:rPr>
        <w:t xml:space="preserve">, </w:t>
      </w:r>
      <w:r w:rsidRPr="00E619C8">
        <w:rPr>
          <w:rFonts w:ascii="Arial" w:eastAsia="Arial" w:hAnsi="Arial" w:cs="Arial"/>
          <w:b/>
          <w:bCs/>
          <w:sz w:val="22"/>
          <w:szCs w:val="22"/>
        </w:rPr>
        <w:t>internet connectivity (85.26)</w:t>
      </w:r>
      <w:r w:rsidRPr="00E619C8">
        <w:rPr>
          <w:rFonts w:ascii="Arial" w:eastAsia="Arial" w:hAnsi="Arial" w:cs="Arial"/>
          <w:sz w:val="22"/>
          <w:szCs w:val="22"/>
        </w:rPr>
        <w:t xml:space="preserve">, and </w:t>
      </w:r>
      <w:r w:rsidRPr="00E619C8">
        <w:rPr>
          <w:rFonts w:ascii="Arial" w:eastAsia="Arial" w:hAnsi="Arial" w:cs="Arial"/>
          <w:b/>
          <w:bCs/>
          <w:sz w:val="22"/>
          <w:szCs w:val="22"/>
        </w:rPr>
        <w:t>institutional websites (89.47)</w:t>
      </w:r>
      <w:r w:rsidRPr="00E619C8">
        <w:rPr>
          <w:rFonts w:ascii="Arial" w:eastAsia="Arial" w:hAnsi="Arial" w:cs="Arial"/>
          <w:sz w:val="22"/>
          <w:szCs w:val="22"/>
        </w:rPr>
        <w:t xml:space="preserve"> show that most entities are technically equipped to manage and publish information. Similarly, </w:t>
      </w:r>
      <w:r w:rsidRPr="00E619C8">
        <w:rPr>
          <w:rFonts w:ascii="Arial" w:eastAsia="Arial" w:hAnsi="Arial" w:cs="Arial"/>
          <w:b/>
          <w:bCs/>
          <w:sz w:val="22"/>
          <w:szCs w:val="22"/>
        </w:rPr>
        <w:t>information systems for infrastructure projects (63.16)</w:t>
      </w:r>
      <w:r w:rsidRPr="00E619C8">
        <w:rPr>
          <w:rFonts w:ascii="Arial" w:eastAsia="Arial" w:hAnsi="Arial" w:cs="Arial"/>
          <w:sz w:val="22"/>
          <w:szCs w:val="22"/>
        </w:rPr>
        <w:t xml:space="preserve"> and the </w:t>
      </w:r>
      <w:r w:rsidRPr="00E619C8">
        <w:rPr>
          <w:rFonts w:ascii="Arial" w:eastAsia="Arial" w:hAnsi="Arial" w:cs="Arial"/>
          <w:b/>
          <w:bCs/>
          <w:sz w:val="22"/>
          <w:szCs w:val="22"/>
        </w:rPr>
        <w:t>use of digital information systems (67.37)</w:t>
      </w:r>
      <w:r w:rsidRPr="00E619C8">
        <w:rPr>
          <w:rFonts w:ascii="Arial" w:eastAsia="Arial" w:hAnsi="Arial" w:cs="Arial"/>
          <w:sz w:val="22"/>
          <w:szCs w:val="22"/>
        </w:rPr>
        <w:t xml:space="preserve"> indicate that digital tools are already in use, although not yet fully </w:t>
      </w:r>
      <w:r w:rsidR="00C244B8">
        <w:rPr>
          <w:rFonts w:ascii="Arial" w:eastAsia="Arial" w:hAnsi="Arial" w:cs="Arial"/>
          <w:sz w:val="22"/>
          <w:szCs w:val="22"/>
        </w:rPr>
        <w:t>optimised</w:t>
      </w:r>
      <w:r w:rsidRPr="00E619C8">
        <w:rPr>
          <w:rFonts w:ascii="Arial" w:eastAsia="Arial" w:hAnsi="Arial" w:cs="Arial"/>
          <w:sz w:val="22"/>
          <w:szCs w:val="22"/>
        </w:rPr>
        <w:t xml:space="preserve"> for transparency purposes.</w:t>
      </w:r>
    </w:p>
    <w:p w14:paraId="1562060B" w14:textId="05CB8F2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The sub-variable </w:t>
      </w:r>
      <w:r w:rsidRPr="00E619C8">
        <w:rPr>
          <w:rFonts w:ascii="Arial" w:eastAsia="Arial" w:hAnsi="Arial" w:cs="Arial"/>
          <w:b/>
          <w:bCs/>
          <w:sz w:val="22"/>
          <w:szCs w:val="22"/>
        </w:rPr>
        <w:t>Procedures to disclose information</w:t>
      </w:r>
      <w:r w:rsidRPr="00E619C8">
        <w:rPr>
          <w:rFonts w:ascii="Arial" w:eastAsia="Arial" w:hAnsi="Arial" w:cs="Arial"/>
          <w:sz w:val="22"/>
          <w:szCs w:val="22"/>
        </w:rPr>
        <w:t xml:space="preserve"> also performs relatively well, with a score of </w:t>
      </w:r>
      <w:r w:rsidRPr="00E619C8">
        <w:rPr>
          <w:rFonts w:ascii="Arial" w:eastAsia="Arial" w:hAnsi="Arial" w:cs="Arial"/>
          <w:b/>
          <w:bCs/>
          <w:sz w:val="22"/>
          <w:szCs w:val="22"/>
        </w:rPr>
        <w:t>61.68</w:t>
      </w:r>
      <w:r w:rsidRPr="00E619C8">
        <w:rPr>
          <w:rFonts w:ascii="Arial" w:eastAsia="Arial" w:hAnsi="Arial" w:cs="Arial"/>
          <w:sz w:val="22"/>
          <w:szCs w:val="22"/>
        </w:rPr>
        <w:t>. This reflects the existence of documented procedures, designated information officers (</w:t>
      </w:r>
      <w:r w:rsidRPr="00E619C8">
        <w:rPr>
          <w:rFonts w:ascii="Arial" w:eastAsia="Arial" w:hAnsi="Arial" w:cs="Arial"/>
          <w:b/>
          <w:bCs/>
          <w:sz w:val="22"/>
          <w:szCs w:val="22"/>
        </w:rPr>
        <w:t>81.05</w:t>
      </w:r>
      <w:r w:rsidRPr="00E619C8">
        <w:rPr>
          <w:rFonts w:ascii="Arial" w:eastAsia="Arial" w:hAnsi="Arial" w:cs="Arial"/>
          <w:sz w:val="22"/>
          <w:szCs w:val="22"/>
        </w:rPr>
        <w:t>), and follow-up mechanisms for information requests (</w:t>
      </w:r>
      <w:r w:rsidRPr="00E619C8">
        <w:rPr>
          <w:rFonts w:ascii="Arial" w:eastAsia="Arial" w:hAnsi="Arial" w:cs="Arial"/>
          <w:b/>
          <w:bCs/>
          <w:sz w:val="22"/>
          <w:szCs w:val="22"/>
        </w:rPr>
        <w:t>75.79</w:t>
      </w:r>
      <w:r w:rsidRPr="00E619C8">
        <w:rPr>
          <w:rFonts w:ascii="Arial" w:eastAsia="Arial" w:hAnsi="Arial" w:cs="Arial"/>
          <w:sz w:val="22"/>
          <w:szCs w:val="22"/>
        </w:rPr>
        <w:t xml:space="preserve">). However, the effectiveness of these procedures is constrained by weaker results in </w:t>
      </w:r>
      <w:r w:rsidR="00FE06F4">
        <w:rPr>
          <w:rFonts w:ascii="Arial" w:eastAsia="Arial" w:hAnsi="Arial" w:cs="Arial"/>
          <w:b/>
          <w:bCs/>
          <w:sz w:val="22"/>
          <w:szCs w:val="22"/>
        </w:rPr>
        <w:t xml:space="preserve">the proactive publication of information (37.89) and in </w:t>
      </w:r>
      <w:r w:rsidRPr="00E619C8">
        <w:rPr>
          <w:rFonts w:ascii="Arial" w:eastAsia="Arial" w:hAnsi="Arial" w:cs="Arial"/>
          <w:b/>
          <w:bCs/>
          <w:sz w:val="22"/>
          <w:szCs w:val="22"/>
        </w:rPr>
        <w:t>clearly defined responsibilities for disclosure (47.37)</w:t>
      </w:r>
      <w:r w:rsidRPr="00E619C8">
        <w:rPr>
          <w:rFonts w:ascii="Arial" w:eastAsia="Arial" w:hAnsi="Arial" w:cs="Arial"/>
          <w:sz w:val="22"/>
          <w:szCs w:val="22"/>
        </w:rPr>
        <w:t>.</w:t>
      </w:r>
    </w:p>
    <w:p w14:paraId="6C8E9A20" w14:textId="7777777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In contrast, the weakest sub-variable is </w:t>
      </w:r>
      <w:r w:rsidRPr="00E619C8">
        <w:rPr>
          <w:rFonts w:ascii="Arial" w:eastAsia="Arial" w:hAnsi="Arial" w:cs="Arial"/>
          <w:b/>
          <w:bCs/>
          <w:sz w:val="22"/>
          <w:szCs w:val="22"/>
        </w:rPr>
        <w:t>Enablers and barriers to disclose information</w:t>
      </w:r>
      <w:r w:rsidRPr="00E619C8">
        <w:rPr>
          <w:rFonts w:ascii="Arial" w:eastAsia="Arial" w:hAnsi="Arial" w:cs="Arial"/>
          <w:sz w:val="22"/>
          <w:szCs w:val="22"/>
        </w:rPr>
        <w:t xml:space="preserve">, which records a low score of </w:t>
      </w:r>
      <w:r w:rsidRPr="00E619C8">
        <w:rPr>
          <w:rFonts w:ascii="Arial" w:eastAsia="Arial" w:hAnsi="Arial" w:cs="Arial"/>
          <w:b/>
          <w:bCs/>
          <w:sz w:val="22"/>
          <w:szCs w:val="22"/>
        </w:rPr>
        <w:t>28.00</w:t>
      </w:r>
      <w:r w:rsidRPr="00E619C8">
        <w:rPr>
          <w:rFonts w:ascii="Arial" w:eastAsia="Arial" w:hAnsi="Arial" w:cs="Arial"/>
          <w:sz w:val="22"/>
          <w:szCs w:val="22"/>
        </w:rPr>
        <w:t>. This result indicates that internal policies, disclosure training programmes (</w:t>
      </w:r>
      <w:r w:rsidRPr="00E619C8">
        <w:rPr>
          <w:rFonts w:ascii="Arial" w:eastAsia="Arial" w:hAnsi="Arial" w:cs="Arial"/>
          <w:b/>
          <w:bCs/>
          <w:sz w:val="22"/>
          <w:szCs w:val="22"/>
        </w:rPr>
        <w:t>9.47</w:t>
      </w:r>
      <w:r w:rsidRPr="00E619C8">
        <w:rPr>
          <w:rFonts w:ascii="Arial" w:eastAsia="Arial" w:hAnsi="Arial" w:cs="Arial"/>
          <w:sz w:val="22"/>
          <w:szCs w:val="22"/>
        </w:rPr>
        <w:t>), and formal plans to address limitations in publishing information (</w:t>
      </w:r>
      <w:r w:rsidRPr="00E619C8">
        <w:rPr>
          <w:rFonts w:ascii="Arial" w:eastAsia="Arial" w:hAnsi="Arial" w:cs="Arial"/>
          <w:b/>
          <w:bCs/>
          <w:sz w:val="22"/>
          <w:szCs w:val="22"/>
        </w:rPr>
        <w:t>9.47</w:t>
      </w:r>
      <w:r w:rsidRPr="00E619C8">
        <w:rPr>
          <w:rFonts w:ascii="Arial" w:eastAsia="Arial" w:hAnsi="Arial" w:cs="Arial"/>
          <w:sz w:val="22"/>
          <w:szCs w:val="22"/>
        </w:rPr>
        <w:t>) are largely absent or underdeveloped. The lack of structured internal support significantly reduces the consistency and sustainability of disclosure practices.</w:t>
      </w:r>
    </w:p>
    <w:p w14:paraId="35BBBE6D" w14:textId="4C5F12CE"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Similarly, </w:t>
      </w:r>
      <w:r w:rsidRPr="00E619C8">
        <w:rPr>
          <w:rFonts w:ascii="Arial" w:eastAsia="Arial" w:hAnsi="Arial" w:cs="Arial"/>
          <w:b/>
          <w:bCs/>
          <w:sz w:val="22"/>
          <w:szCs w:val="22"/>
        </w:rPr>
        <w:t>Control over infrastructure projects disclosure</w:t>
      </w:r>
      <w:r w:rsidRPr="00E619C8">
        <w:rPr>
          <w:rFonts w:ascii="Arial" w:eastAsia="Arial" w:hAnsi="Arial" w:cs="Arial"/>
          <w:sz w:val="22"/>
          <w:szCs w:val="22"/>
        </w:rPr>
        <w:t xml:space="preserve"> scores only </w:t>
      </w:r>
      <w:r w:rsidRPr="00E619C8">
        <w:rPr>
          <w:rFonts w:ascii="Arial" w:eastAsia="Arial" w:hAnsi="Arial" w:cs="Arial"/>
          <w:b/>
          <w:bCs/>
          <w:sz w:val="22"/>
          <w:szCs w:val="22"/>
        </w:rPr>
        <w:t>35.26</w:t>
      </w:r>
      <w:r w:rsidRPr="00E619C8">
        <w:rPr>
          <w:rFonts w:ascii="Arial" w:eastAsia="Arial" w:hAnsi="Arial" w:cs="Arial"/>
          <w:sz w:val="22"/>
          <w:szCs w:val="22"/>
        </w:rPr>
        <w:t xml:space="preserve">, reflecting limited mechanisms </w:t>
      </w:r>
      <w:r w:rsidR="00FE06F4">
        <w:rPr>
          <w:rFonts w:ascii="Arial" w:eastAsia="Arial" w:hAnsi="Arial" w:cs="Arial"/>
          <w:sz w:val="22"/>
          <w:szCs w:val="22"/>
        </w:rPr>
        <w:t>for monitoring</w:t>
      </w:r>
      <w:r w:rsidRPr="00E619C8">
        <w:rPr>
          <w:rFonts w:ascii="Arial" w:eastAsia="Arial" w:hAnsi="Arial" w:cs="Arial"/>
          <w:sz w:val="22"/>
          <w:szCs w:val="22"/>
        </w:rPr>
        <w:t xml:space="preserve"> compliance with disclosure requirements. Indicators related to the </w:t>
      </w:r>
      <w:r w:rsidRPr="00E619C8">
        <w:rPr>
          <w:rFonts w:ascii="Arial" w:eastAsia="Arial" w:hAnsi="Arial" w:cs="Arial"/>
          <w:b/>
          <w:bCs/>
          <w:sz w:val="22"/>
          <w:szCs w:val="22"/>
        </w:rPr>
        <w:t>level of disclosed infrastructure projects (35.79)</w:t>
      </w:r>
      <w:r w:rsidRPr="00E619C8">
        <w:rPr>
          <w:rFonts w:ascii="Arial" w:eastAsia="Arial" w:hAnsi="Arial" w:cs="Arial"/>
          <w:sz w:val="22"/>
          <w:szCs w:val="22"/>
        </w:rPr>
        <w:t xml:space="preserve"> and the </w:t>
      </w:r>
      <w:r w:rsidRPr="00E619C8">
        <w:rPr>
          <w:rFonts w:ascii="Arial" w:eastAsia="Arial" w:hAnsi="Arial" w:cs="Arial"/>
          <w:b/>
          <w:bCs/>
          <w:sz w:val="22"/>
          <w:szCs w:val="22"/>
        </w:rPr>
        <w:t>share of investment represented by disclosed projects (34.74)</w:t>
      </w:r>
      <w:r w:rsidRPr="00E619C8">
        <w:rPr>
          <w:rFonts w:ascii="Arial" w:eastAsia="Arial" w:hAnsi="Arial" w:cs="Arial"/>
          <w:sz w:val="22"/>
          <w:szCs w:val="22"/>
        </w:rPr>
        <w:t xml:space="preserve"> suggest that, despite existing capacities, disclosure </w:t>
      </w:r>
      <w:r w:rsidR="00FE06F4">
        <w:rPr>
          <w:rFonts w:ascii="Arial" w:eastAsia="Arial" w:hAnsi="Arial" w:cs="Arial"/>
          <w:sz w:val="22"/>
          <w:szCs w:val="22"/>
        </w:rPr>
        <w:t>remains neither systematic nor</w:t>
      </w:r>
      <w:r w:rsidRPr="00E619C8">
        <w:rPr>
          <w:rFonts w:ascii="Arial" w:eastAsia="Arial" w:hAnsi="Arial" w:cs="Arial"/>
          <w:sz w:val="22"/>
          <w:szCs w:val="22"/>
        </w:rPr>
        <w:t xml:space="preserve"> comprehensive across all projects.</w:t>
      </w:r>
    </w:p>
    <w:p w14:paraId="7E853EB9" w14:textId="7777777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To further clarify the results, the following indicators stand out.</w:t>
      </w:r>
    </w:p>
    <w:p w14:paraId="58C44B52" w14:textId="77777777" w:rsidR="002033A5" w:rsidRPr="00E619C8" w:rsidRDefault="00E113EC">
      <w:pPr>
        <w:spacing w:before="240" w:after="240" w:line="300" w:lineRule="auto"/>
        <w:jc w:val="both"/>
        <w:rPr>
          <w:rFonts w:ascii="Arial" w:eastAsia="Arial" w:hAnsi="Arial" w:cs="Arial"/>
          <w:b/>
          <w:bCs/>
          <w:sz w:val="22"/>
          <w:szCs w:val="22"/>
        </w:rPr>
      </w:pPr>
      <w:r w:rsidRPr="00E619C8">
        <w:rPr>
          <w:rFonts w:ascii="Arial" w:eastAsia="Arial" w:hAnsi="Arial" w:cs="Arial"/>
          <w:b/>
          <w:bCs/>
          <w:sz w:val="22"/>
          <w:szCs w:val="22"/>
        </w:rPr>
        <w:t>A. Indicators with the highest scores</w:t>
      </w:r>
    </w:p>
    <w:p w14:paraId="7D8A7C40" w14:textId="77777777" w:rsidR="002033A5" w:rsidRPr="00E619C8" w:rsidRDefault="00E113EC">
      <w:pPr>
        <w:numPr>
          <w:ilvl w:val="0"/>
          <w:numId w:val="14"/>
        </w:numPr>
        <w:spacing w:before="240" w:line="300" w:lineRule="auto"/>
        <w:rPr>
          <w:rFonts w:ascii="Arial" w:eastAsia="Arial" w:hAnsi="Arial" w:cs="Arial"/>
          <w:sz w:val="22"/>
          <w:szCs w:val="22"/>
        </w:rPr>
      </w:pPr>
      <w:r w:rsidRPr="00E619C8">
        <w:rPr>
          <w:rFonts w:ascii="Arial" w:eastAsia="Arial" w:hAnsi="Arial" w:cs="Arial"/>
          <w:sz w:val="22"/>
          <w:szCs w:val="22"/>
        </w:rPr>
        <w:t>Institutional websites – 89.47 points</w:t>
      </w:r>
    </w:p>
    <w:p w14:paraId="44CD9FEE" w14:textId="77777777" w:rsidR="002033A5" w:rsidRPr="00E619C8" w:rsidRDefault="00E113EC">
      <w:pPr>
        <w:numPr>
          <w:ilvl w:val="0"/>
          <w:numId w:val="14"/>
        </w:numPr>
        <w:spacing w:line="300" w:lineRule="auto"/>
        <w:rPr>
          <w:rFonts w:ascii="Arial" w:eastAsia="Arial" w:hAnsi="Arial" w:cs="Arial"/>
          <w:sz w:val="22"/>
          <w:szCs w:val="22"/>
        </w:rPr>
      </w:pPr>
      <w:r w:rsidRPr="00E619C8">
        <w:rPr>
          <w:rFonts w:ascii="Arial" w:eastAsia="Arial" w:hAnsi="Arial" w:cs="Arial"/>
          <w:sz w:val="22"/>
          <w:szCs w:val="22"/>
        </w:rPr>
        <w:t>Connectivity to the internet – 85.26 points</w:t>
      </w:r>
    </w:p>
    <w:p w14:paraId="1F7D50E5" w14:textId="77777777" w:rsidR="002033A5" w:rsidRPr="00E619C8" w:rsidRDefault="00E113EC">
      <w:pPr>
        <w:numPr>
          <w:ilvl w:val="0"/>
          <w:numId w:val="14"/>
        </w:numPr>
        <w:spacing w:after="240" w:line="300" w:lineRule="auto"/>
        <w:rPr>
          <w:rFonts w:ascii="Arial" w:eastAsia="Arial" w:hAnsi="Arial" w:cs="Arial"/>
          <w:sz w:val="22"/>
          <w:szCs w:val="22"/>
        </w:rPr>
      </w:pPr>
      <w:r w:rsidRPr="00E619C8">
        <w:rPr>
          <w:rFonts w:ascii="Arial" w:eastAsia="Arial" w:hAnsi="Arial" w:cs="Arial"/>
          <w:sz w:val="22"/>
          <w:szCs w:val="22"/>
        </w:rPr>
        <w:t>Information officer profile – 81.05 points</w:t>
      </w:r>
    </w:p>
    <w:p w14:paraId="25951618" w14:textId="7777777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These indicators demonstrate that institutional and technical capacities exist and provide a solid operational foundation for transparency.</w:t>
      </w:r>
    </w:p>
    <w:p w14:paraId="637D5355" w14:textId="77777777" w:rsidR="002033A5" w:rsidRPr="00E619C8" w:rsidRDefault="00E113EC">
      <w:pPr>
        <w:spacing w:before="240" w:after="240" w:line="300" w:lineRule="auto"/>
        <w:jc w:val="both"/>
        <w:rPr>
          <w:rFonts w:ascii="Arial" w:eastAsia="Arial" w:hAnsi="Arial" w:cs="Arial"/>
          <w:b/>
          <w:bCs/>
          <w:sz w:val="22"/>
          <w:szCs w:val="22"/>
        </w:rPr>
      </w:pPr>
      <w:r w:rsidRPr="00E619C8">
        <w:rPr>
          <w:rFonts w:ascii="Arial" w:eastAsia="Arial" w:hAnsi="Arial" w:cs="Arial"/>
          <w:b/>
          <w:bCs/>
          <w:sz w:val="22"/>
          <w:szCs w:val="22"/>
        </w:rPr>
        <w:t>B. Indicators with the lowest scores</w:t>
      </w:r>
    </w:p>
    <w:p w14:paraId="59F2E20F" w14:textId="77777777" w:rsidR="002033A5" w:rsidRPr="00E619C8" w:rsidRDefault="00E113EC">
      <w:pPr>
        <w:numPr>
          <w:ilvl w:val="0"/>
          <w:numId w:val="13"/>
        </w:numPr>
        <w:spacing w:before="240" w:line="300" w:lineRule="auto"/>
        <w:rPr>
          <w:rFonts w:ascii="Arial" w:eastAsia="Arial" w:hAnsi="Arial" w:cs="Arial"/>
          <w:sz w:val="22"/>
          <w:szCs w:val="22"/>
        </w:rPr>
      </w:pPr>
      <w:r w:rsidRPr="00E619C8">
        <w:rPr>
          <w:rFonts w:ascii="Arial" w:eastAsia="Arial" w:hAnsi="Arial" w:cs="Arial"/>
          <w:sz w:val="22"/>
          <w:szCs w:val="22"/>
        </w:rPr>
        <w:t>Disclosure training programme – 9.47 points</w:t>
      </w:r>
    </w:p>
    <w:p w14:paraId="55D72ECB" w14:textId="77777777" w:rsidR="002033A5" w:rsidRPr="00E619C8" w:rsidRDefault="00E113EC">
      <w:pPr>
        <w:numPr>
          <w:ilvl w:val="0"/>
          <w:numId w:val="13"/>
        </w:numPr>
        <w:spacing w:line="300" w:lineRule="auto"/>
        <w:rPr>
          <w:rFonts w:ascii="Arial" w:eastAsia="Arial" w:hAnsi="Arial" w:cs="Arial"/>
          <w:sz w:val="22"/>
          <w:szCs w:val="22"/>
        </w:rPr>
      </w:pPr>
      <w:r w:rsidRPr="00E619C8">
        <w:rPr>
          <w:rFonts w:ascii="Arial" w:eastAsia="Arial" w:hAnsi="Arial" w:cs="Arial"/>
          <w:sz w:val="22"/>
          <w:szCs w:val="22"/>
        </w:rPr>
        <w:t>Plan to mitigate limitations for publishing information – 9.47 points</w:t>
      </w:r>
    </w:p>
    <w:p w14:paraId="3B2AF751" w14:textId="77777777" w:rsidR="002033A5" w:rsidRPr="00E619C8" w:rsidRDefault="00E113EC">
      <w:pPr>
        <w:numPr>
          <w:ilvl w:val="0"/>
          <w:numId w:val="13"/>
        </w:numPr>
        <w:spacing w:after="240" w:line="300" w:lineRule="auto"/>
        <w:rPr>
          <w:rFonts w:ascii="Arial" w:eastAsia="Arial" w:hAnsi="Arial" w:cs="Arial"/>
          <w:sz w:val="22"/>
          <w:szCs w:val="22"/>
        </w:rPr>
      </w:pPr>
      <w:r w:rsidRPr="00E619C8">
        <w:rPr>
          <w:rFonts w:ascii="Arial" w:eastAsia="Arial" w:hAnsi="Arial" w:cs="Arial"/>
          <w:sz w:val="22"/>
          <w:szCs w:val="22"/>
        </w:rPr>
        <w:t>Visualisations based on infrastructure projects data – 21.05 points</w:t>
      </w:r>
    </w:p>
    <w:p w14:paraId="7A5EA288" w14:textId="7777777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The lowest-scoring indicators highlight that capacity challenges are less about hardware or access to technology, and more about </w:t>
      </w:r>
      <w:r w:rsidRPr="00E619C8">
        <w:rPr>
          <w:rFonts w:ascii="Arial" w:eastAsia="Arial" w:hAnsi="Arial" w:cs="Arial"/>
          <w:b/>
          <w:bCs/>
          <w:sz w:val="22"/>
          <w:szCs w:val="22"/>
        </w:rPr>
        <w:t>institutional processes, skills development, and active use of data for transparency and public communication</w:t>
      </w:r>
      <w:r w:rsidRPr="00E619C8">
        <w:rPr>
          <w:rFonts w:ascii="Arial" w:eastAsia="Arial" w:hAnsi="Arial" w:cs="Arial"/>
          <w:sz w:val="22"/>
          <w:szCs w:val="22"/>
        </w:rPr>
        <w:t>.</w:t>
      </w:r>
    </w:p>
    <w:p w14:paraId="1B8E3FE2" w14:textId="4AFA0FE3"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Overall, the results suggest that NTB possesses adequate technical infrastructure and basic procedures to support </w:t>
      </w:r>
      <w:r w:rsidR="007F3E4C" w:rsidRPr="00E619C8">
        <w:rPr>
          <w:rFonts w:ascii="Arial" w:eastAsia="Arial" w:hAnsi="Arial" w:cs="Arial"/>
          <w:sz w:val="22"/>
          <w:szCs w:val="22"/>
        </w:rPr>
        <w:t>transparency</w:t>
      </w:r>
      <w:r w:rsidR="00FE06F4">
        <w:rPr>
          <w:rFonts w:ascii="Arial" w:eastAsia="Arial" w:hAnsi="Arial" w:cs="Arial"/>
          <w:sz w:val="22"/>
          <w:szCs w:val="22"/>
        </w:rPr>
        <w:t>, but lacks strong internal enablers and control mechanisms to ensure these capacities translate into consistent,</w:t>
      </w:r>
      <w:r w:rsidRPr="00E619C8">
        <w:rPr>
          <w:rFonts w:ascii="Arial" w:eastAsia="Arial" w:hAnsi="Arial" w:cs="Arial"/>
          <w:sz w:val="22"/>
          <w:szCs w:val="22"/>
        </w:rPr>
        <w:t xml:space="preserve"> comprehensive disclosure. Strengthening internal policies, training programmes, and monitoring systems will be critical to improving performance in this dimension and enhancing the effectiveness of transparency efforts in practice.</w:t>
      </w:r>
    </w:p>
    <w:p w14:paraId="3B3579F9" w14:textId="77777777" w:rsidR="002033A5" w:rsidRPr="00E619C8" w:rsidRDefault="00E113EC">
      <w:pPr>
        <w:keepNext/>
        <w:keepLines/>
        <w:pBdr>
          <w:top w:val="nil"/>
          <w:left w:val="nil"/>
          <w:bottom w:val="nil"/>
          <w:right w:val="nil"/>
          <w:between w:val="nil"/>
        </w:pBdr>
        <w:spacing w:before="240" w:after="160" w:line="300" w:lineRule="auto"/>
        <w:jc w:val="both"/>
        <w:rPr>
          <w:rFonts w:ascii="Arial" w:eastAsia="Arial" w:hAnsi="Arial" w:cs="Arial"/>
          <w:b/>
          <w:bCs/>
          <w:color w:val="1E4D78"/>
          <w:sz w:val="22"/>
          <w:szCs w:val="22"/>
        </w:rPr>
      </w:pPr>
      <w:bookmarkStart w:id="21" w:name="_heading=h.7okuxv8i24k6" w:colFirst="0" w:colLast="0"/>
      <w:bookmarkEnd w:id="21"/>
      <w:r w:rsidRPr="00E619C8">
        <w:rPr>
          <w:rFonts w:ascii="Arial" w:eastAsia="Arial" w:hAnsi="Arial" w:cs="Arial"/>
          <w:b/>
          <w:bCs/>
          <w:color w:val="C00000"/>
          <w:sz w:val="22"/>
          <w:szCs w:val="22"/>
        </w:rPr>
        <w:t xml:space="preserve">3.1.4 Citizen participation </w:t>
      </w:r>
    </w:p>
    <w:p w14:paraId="0D951A21" w14:textId="67E736E8"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The </w:t>
      </w:r>
      <w:r w:rsidRPr="00E619C8">
        <w:rPr>
          <w:rFonts w:ascii="Arial" w:eastAsia="Arial" w:hAnsi="Arial" w:cs="Arial"/>
          <w:b/>
          <w:bCs/>
          <w:sz w:val="22"/>
          <w:szCs w:val="22"/>
        </w:rPr>
        <w:t>Citizen Participation</w:t>
      </w:r>
      <w:r w:rsidRPr="00E619C8">
        <w:rPr>
          <w:rFonts w:ascii="Arial" w:eastAsia="Arial" w:hAnsi="Arial" w:cs="Arial"/>
          <w:sz w:val="22"/>
          <w:szCs w:val="22"/>
        </w:rPr>
        <w:t xml:space="preserve"> dimension scores </w:t>
      </w:r>
      <w:r w:rsidRPr="00E619C8">
        <w:rPr>
          <w:rFonts w:ascii="Arial" w:eastAsia="Arial" w:hAnsi="Arial" w:cs="Arial"/>
          <w:b/>
          <w:bCs/>
          <w:sz w:val="22"/>
          <w:szCs w:val="22"/>
        </w:rPr>
        <w:t>31.61 out of 100</w:t>
      </w:r>
      <w:r w:rsidRPr="00E619C8">
        <w:rPr>
          <w:rFonts w:ascii="Arial" w:eastAsia="Arial" w:hAnsi="Arial" w:cs="Arial"/>
          <w:sz w:val="22"/>
          <w:szCs w:val="22"/>
        </w:rPr>
        <w:t xml:space="preserve">, indicating that citizen engagement in public infrastructure governance remains limited in both depth and impact. While several participation mechanisms formally exist, the results suggest </w:t>
      </w:r>
      <w:r w:rsidR="00A67228">
        <w:rPr>
          <w:rFonts w:ascii="Arial" w:eastAsia="Arial" w:hAnsi="Arial" w:cs="Arial"/>
          <w:sz w:val="22"/>
          <w:szCs w:val="22"/>
        </w:rPr>
        <w:t>they</w:t>
      </w:r>
      <w:r w:rsidRPr="00E619C8">
        <w:rPr>
          <w:rFonts w:ascii="Arial" w:eastAsia="Arial" w:hAnsi="Arial" w:cs="Arial"/>
          <w:sz w:val="22"/>
          <w:szCs w:val="22"/>
        </w:rPr>
        <w:t xml:space="preserve"> are not yet effectively linked to infrastructure decision-making processes.</w:t>
      </w:r>
    </w:p>
    <w:p w14:paraId="2C182135" w14:textId="2E08A16F"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Figure 7 highlights a clear imbalance between the availability of participation channels and their actual use. The sub-variable </w:t>
      </w:r>
      <w:r w:rsidRPr="00E619C8">
        <w:rPr>
          <w:rFonts w:ascii="Arial" w:eastAsia="Arial" w:hAnsi="Arial" w:cs="Arial"/>
          <w:b/>
          <w:bCs/>
          <w:sz w:val="22"/>
          <w:szCs w:val="22"/>
        </w:rPr>
        <w:t>Participation opportunities</w:t>
      </w:r>
      <w:r w:rsidRPr="00E619C8">
        <w:rPr>
          <w:rFonts w:ascii="Arial" w:eastAsia="Arial" w:hAnsi="Arial" w:cs="Arial"/>
          <w:sz w:val="22"/>
          <w:szCs w:val="22"/>
        </w:rPr>
        <w:t xml:space="preserve"> </w:t>
      </w:r>
      <w:r w:rsidR="00A67228">
        <w:rPr>
          <w:rFonts w:ascii="Arial" w:eastAsia="Arial" w:hAnsi="Arial" w:cs="Arial"/>
          <w:sz w:val="22"/>
          <w:szCs w:val="22"/>
        </w:rPr>
        <w:t>records</w:t>
      </w:r>
      <w:r w:rsidRPr="00E619C8">
        <w:rPr>
          <w:rFonts w:ascii="Arial" w:eastAsia="Arial" w:hAnsi="Arial" w:cs="Arial"/>
          <w:sz w:val="22"/>
          <w:szCs w:val="22"/>
        </w:rPr>
        <w:t xml:space="preserve"> a score of </w:t>
      </w:r>
      <w:r w:rsidRPr="00E619C8">
        <w:rPr>
          <w:rFonts w:ascii="Arial" w:eastAsia="Arial" w:hAnsi="Arial" w:cs="Arial"/>
          <w:b/>
          <w:bCs/>
          <w:sz w:val="22"/>
          <w:szCs w:val="22"/>
        </w:rPr>
        <w:t>40.84</w:t>
      </w:r>
      <w:r w:rsidRPr="00E619C8">
        <w:rPr>
          <w:rFonts w:ascii="Arial" w:eastAsia="Arial" w:hAnsi="Arial" w:cs="Arial"/>
          <w:sz w:val="22"/>
          <w:szCs w:val="22"/>
        </w:rPr>
        <w:t>, reflecting the presence of basic institutional mechanisms for engagement. These include permanent participation arrangements, citizen service offices, and online consultation tools. However, more substantive forms of participation—such as citizens being directly involved in the planning, monitoring, or evaluation of infrastructure projects—remain underdeveloped.</w:t>
      </w:r>
    </w:p>
    <w:p w14:paraId="34BEB117" w14:textId="3B772D76" w:rsidR="002033A5" w:rsidRPr="00E619C8" w:rsidRDefault="001509E6">
      <w:pPr>
        <w:spacing w:before="240" w:after="240" w:line="300" w:lineRule="auto"/>
        <w:jc w:val="both"/>
        <w:rPr>
          <w:rFonts w:ascii="Arial" w:eastAsia="Arial" w:hAnsi="Arial" w:cs="Arial"/>
          <w:sz w:val="22"/>
          <w:szCs w:val="22"/>
        </w:rPr>
      </w:pPr>
      <w:r w:rsidRPr="00E619C8">
        <w:rPr>
          <w:noProof/>
        </w:rPr>
        <w:drawing>
          <wp:inline distT="0" distB="0" distL="0" distR="0" wp14:anchorId="6617D4D1" wp14:editId="737F2004">
            <wp:extent cx="5704114" cy="2090057"/>
            <wp:effectExtent l="0" t="0" r="11430" b="18415"/>
            <wp:docPr id="300747007" name="Chart 1">
              <a:extLst xmlns:a="http://schemas.openxmlformats.org/drawingml/2006/main">
                <a:ext uri="{FF2B5EF4-FFF2-40B4-BE49-F238E27FC236}">
                  <a16:creationId xmlns:a16="http://schemas.microsoft.com/office/drawing/2014/main" id="{A95E30BE-8BD5-BE5C-6350-0CDC7592C22E}"/>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129C9A19" w14:textId="77777777" w:rsidR="002033A5" w:rsidRPr="00E619C8" w:rsidRDefault="00E113EC">
      <w:pPr>
        <w:spacing w:before="240" w:after="240" w:line="300" w:lineRule="auto"/>
        <w:jc w:val="center"/>
        <w:rPr>
          <w:rFonts w:ascii="Arial" w:eastAsia="Arial" w:hAnsi="Arial" w:cs="Arial"/>
          <w:sz w:val="22"/>
          <w:szCs w:val="22"/>
        </w:rPr>
      </w:pPr>
      <w:r w:rsidRPr="00E619C8">
        <w:rPr>
          <w:rFonts w:ascii="Arial" w:eastAsia="Arial" w:hAnsi="Arial" w:cs="Arial"/>
          <w:sz w:val="22"/>
          <w:szCs w:val="22"/>
        </w:rPr>
        <w:t>Figure 7 Dimension 3: Citizen Participation’s Score</w:t>
      </w:r>
    </w:p>
    <w:p w14:paraId="1CD06349" w14:textId="7777777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This limitation is further reflected in the sub-variable </w:t>
      </w:r>
      <w:r w:rsidRPr="00E619C8">
        <w:rPr>
          <w:rFonts w:ascii="Arial" w:eastAsia="Arial" w:hAnsi="Arial" w:cs="Arial"/>
          <w:b/>
          <w:bCs/>
          <w:sz w:val="22"/>
          <w:szCs w:val="22"/>
        </w:rPr>
        <w:t>Use of information by citizens</w:t>
      </w:r>
      <w:r w:rsidRPr="00E619C8">
        <w:rPr>
          <w:rFonts w:ascii="Arial" w:eastAsia="Arial" w:hAnsi="Arial" w:cs="Arial"/>
          <w:sz w:val="22"/>
          <w:szCs w:val="22"/>
        </w:rPr>
        <w:t xml:space="preserve">, which scores only </w:t>
      </w:r>
      <w:r w:rsidRPr="00E619C8">
        <w:rPr>
          <w:rFonts w:ascii="Arial" w:eastAsia="Arial" w:hAnsi="Arial" w:cs="Arial"/>
          <w:b/>
          <w:bCs/>
          <w:sz w:val="22"/>
          <w:szCs w:val="22"/>
        </w:rPr>
        <w:t>24.05</w:t>
      </w:r>
      <w:r w:rsidRPr="00E619C8">
        <w:rPr>
          <w:rFonts w:ascii="Arial" w:eastAsia="Arial" w:hAnsi="Arial" w:cs="Arial"/>
          <w:sz w:val="22"/>
          <w:szCs w:val="22"/>
        </w:rPr>
        <w:t>. Although information related to infrastructure projects is disclosed and access-to-information requests are generally processed, there is limited evidence that citizens use this information to influence project decisions or that public institutions systematically integrate citizen feedback into infrastructure reforms.</w:t>
      </w:r>
    </w:p>
    <w:p w14:paraId="017DB5D3" w14:textId="7777777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To further clarify the results, the following indicators stand out.</w:t>
      </w:r>
    </w:p>
    <w:p w14:paraId="4EB50C02" w14:textId="77777777" w:rsidR="002033A5" w:rsidRPr="00E619C8" w:rsidRDefault="00E113EC">
      <w:pPr>
        <w:spacing w:before="240" w:after="240" w:line="300" w:lineRule="auto"/>
        <w:jc w:val="both"/>
        <w:rPr>
          <w:rFonts w:ascii="Arial" w:eastAsia="Arial" w:hAnsi="Arial" w:cs="Arial"/>
          <w:b/>
          <w:bCs/>
          <w:sz w:val="22"/>
          <w:szCs w:val="22"/>
        </w:rPr>
      </w:pPr>
      <w:r w:rsidRPr="00E619C8">
        <w:rPr>
          <w:rFonts w:ascii="Arial" w:eastAsia="Arial" w:hAnsi="Arial" w:cs="Arial"/>
          <w:b/>
          <w:bCs/>
          <w:sz w:val="22"/>
          <w:szCs w:val="22"/>
        </w:rPr>
        <w:t>A. Indicators with the highest scores</w:t>
      </w:r>
    </w:p>
    <w:p w14:paraId="129A96F3" w14:textId="77777777" w:rsidR="002033A5" w:rsidRPr="00E619C8" w:rsidRDefault="00E113EC">
      <w:pPr>
        <w:numPr>
          <w:ilvl w:val="0"/>
          <w:numId w:val="2"/>
        </w:numPr>
        <w:spacing w:before="240" w:line="300" w:lineRule="auto"/>
        <w:jc w:val="both"/>
        <w:rPr>
          <w:rFonts w:ascii="Arial" w:eastAsia="Arial" w:hAnsi="Arial" w:cs="Arial"/>
          <w:sz w:val="22"/>
          <w:szCs w:val="22"/>
        </w:rPr>
      </w:pPr>
      <w:r w:rsidRPr="00E619C8">
        <w:rPr>
          <w:rFonts w:ascii="Arial" w:eastAsia="Arial" w:hAnsi="Arial" w:cs="Arial"/>
          <w:sz w:val="22"/>
          <w:szCs w:val="22"/>
        </w:rPr>
        <w:t xml:space="preserve">Permanent and inclusive citizen participation – </w:t>
      </w:r>
      <w:r w:rsidRPr="00E619C8">
        <w:rPr>
          <w:rFonts w:ascii="Arial" w:eastAsia="Arial" w:hAnsi="Arial" w:cs="Arial"/>
          <w:b/>
          <w:bCs/>
          <w:sz w:val="22"/>
          <w:szCs w:val="22"/>
        </w:rPr>
        <w:t>51.58 points</w:t>
      </w:r>
    </w:p>
    <w:p w14:paraId="4F9DAEA2" w14:textId="77777777" w:rsidR="002033A5" w:rsidRPr="00E619C8" w:rsidRDefault="00E113EC">
      <w:pPr>
        <w:numPr>
          <w:ilvl w:val="0"/>
          <w:numId w:val="2"/>
        </w:numPr>
        <w:spacing w:line="300" w:lineRule="auto"/>
        <w:jc w:val="both"/>
        <w:rPr>
          <w:rFonts w:ascii="Arial" w:eastAsia="Arial" w:hAnsi="Arial" w:cs="Arial"/>
          <w:sz w:val="22"/>
          <w:szCs w:val="22"/>
        </w:rPr>
      </w:pPr>
      <w:r w:rsidRPr="00E619C8">
        <w:rPr>
          <w:rFonts w:ascii="Arial" w:eastAsia="Arial" w:hAnsi="Arial" w:cs="Arial"/>
          <w:sz w:val="22"/>
          <w:szCs w:val="22"/>
        </w:rPr>
        <w:t xml:space="preserve">Citizen attention office – </w:t>
      </w:r>
      <w:r w:rsidRPr="00E619C8">
        <w:rPr>
          <w:rFonts w:ascii="Arial" w:eastAsia="Arial" w:hAnsi="Arial" w:cs="Arial"/>
          <w:b/>
          <w:bCs/>
          <w:sz w:val="22"/>
          <w:szCs w:val="22"/>
        </w:rPr>
        <w:t>48.42 points</w:t>
      </w:r>
    </w:p>
    <w:p w14:paraId="6F416C31" w14:textId="77777777" w:rsidR="002033A5" w:rsidRPr="00E619C8" w:rsidRDefault="00E113EC">
      <w:pPr>
        <w:numPr>
          <w:ilvl w:val="0"/>
          <w:numId w:val="2"/>
        </w:numPr>
        <w:spacing w:after="240" w:line="300" w:lineRule="auto"/>
        <w:jc w:val="both"/>
        <w:rPr>
          <w:rFonts w:ascii="Arial" w:eastAsia="Arial" w:hAnsi="Arial" w:cs="Arial"/>
          <w:sz w:val="22"/>
          <w:szCs w:val="22"/>
        </w:rPr>
      </w:pPr>
      <w:r w:rsidRPr="00E619C8">
        <w:rPr>
          <w:rFonts w:ascii="Arial" w:eastAsia="Arial" w:hAnsi="Arial" w:cs="Arial"/>
          <w:sz w:val="22"/>
          <w:szCs w:val="22"/>
        </w:rPr>
        <w:t xml:space="preserve">Online form for consultation or requests – </w:t>
      </w:r>
      <w:r w:rsidRPr="00E619C8">
        <w:rPr>
          <w:rFonts w:ascii="Arial" w:eastAsia="Arial" w:hAnsi="Arial" w:cs="Arial"/>
          <w:b/>
          <w:bCs/>
          <w:sz w:val="22"/>
          <w:szCs w:val="22"/>
        </w:rPr>
        <w:t>45.26 points</w:t>
      </w:r>
    </w:p>
    <w:p w14:paraId="3BE090DB" w14:textId="658E66CB"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These results indicate that participation is largely </w:t>
      </w:r>
      <w:r w:rsidR="00A67228">
        <w:rPr>
          <w:rFonts w:ascii="Arial" w:eastAsia="Arial" w:hAnsi="Arial" w:cs="Arial"/>
          <w:sz w:val="22"/>
          <w:szCs w:val="22"/>
        </w:rPr>
        <w:t>formalised</w:t>
      </w:r>
      <w:r w:rsidRPr="00E619C8">
        <w:rPr>
          <w:rFonts w:ascii="Arial" w:eastAsia="Arial" w:hAnsi="Arial" w:cs="Arial"/>
          <w:sz w:val="22"/>
          <w:szCs w:val="22"/>
        </w:rPr>
        <w:t xml:space="preserve"> through administrative mechanisms rather than through active or deliberative engagement in infrastructure projects.</w:t>
      </w:r>
    </w:p>
    <w:p w14:paraId="3122018B" w14:textId="77777777" w:rsidR="002033A5" w:rsidRPr="00E619C8" w:rsidRDefault="00E113EC">
      <w:pPr>
        <w:spacing w:before="240" w:after="240" w:line="300" w:lineRule="auto"/>
        <w:jc w:val="both"/>
        <w:rPr>
          <w:rFonts w:ascii="Arial" w:eastAsia="Arial" w:hAnsi="Arial" w:cs="Arial"/>
          <w:b/>
          <w:bCs/>
          <w:sz w:val="22"/>
          <w:szCs w:val="22"/>
        </w:rPr>
      </w:pPr>
      <w:r w:rsidRPr="00E619C8">
        <w:rPr>
          <w:rFonts w:ascii="Arial" w:eastAsia="Arial" w:hAnsi="Arial" w:cs="Arial"/>
          <w:b/>
          <w:bCs/>
          <w:sz w:val="22"/>
          <w:szCs w:val="22"/>
        </w:rPr>
        <w:t>B. Indicators with the lowest scores</w:t>
      </w:r>
    </w:p>
    <w:p w14:paraId="00A1FF20" w14:textId="77777777" w:rsidR="002033A5" w:rsidRPr="00E619C8" w:rsidRDefault="00E113EC">
      <w:pPr>
        <w:numPr>
          <w:ilvl w:val="0"/>
          <w:numId w:val="7"/>
        </w:numPr>
        <w:spacing w:before="240" w:line="300" w:lineRule="auto"/>
        <w:jc w:val="both"/>
        <w:rPr>
          <w:rFonts w:ascii="Arial" w:eastAsia="Arial" w:hAnsi="Arial" w:cs="Arial"/>
          <w:sz w:val="22"/>
          <w:szCs w:val="22"/>
        </w:rPr>
      </w:pPr>
      <w:r w:rsidRPr="00E619C8">
        <w:rPr>
          <w:rFonts w:ascii="Arial" w:eastAsia="Arial" w:hAnsi="Arial" w:cs="Arial"/>
          <w:sz w:val="22"/>
          <w:szCs w:val="22"/>
        </w:rPr>
        <w:t xml:space="preserve">Evidence of joint projects – </w:t>
      </w:r>
      <w:r w:rsidRPr="00E619C8">
        <w:rPr>
          <w:rFonts w:ascii="Arial" w:eastAsia="Arial" w:hAnsi="Arial" w:cs="Arial"/>
          <w:b/>
          <w:bCs/>
          <w:sz w:val="22"/>
          <w:szCs w:val="22"/>
        </w:rPr>
        <w:t>0.00 points</w:t>
      </w:r>
    </w:p>
    <w:p w14:paraId="61C528FE" w14:textId="77777777" w:rsidR="002033A5" w:rsidRPr="00E619C8" w:rsidRDefault="00E113EC">
      <w:pPr>
        <w:numPr>
          <w:ilvl w:val="0"/>
          <w:numId w:val="7"/>
        </w:numPr>
        <w:spacing w:line="300" w:lineRule="auto"/>
        <w:jc w:val="both"/>
        <w:rPr>
          <w:rFonts w:ascii="Arial" w:eastAsia="Arial" w:hAnsi="Arial" w:cs="Arial"/>
          <w:sz w:val="22"/>
          <w:szCs w:val="22"/>
        </w:rPr>
      </w:pPr>
      <w:r w:rsidRPr="00E619C8">
        <w:rPr>
          <w:rFonts w:ascii="Arial" w:eastAsia="Arial" w:hAnsi="Arial" w:cs="Arial"/>
          <w:sz w:val="22"/>
          <w:szCs w:val="22"/>
        </w:rPr>
        <w:t xml:space="preserve">Improvements as a response to citizen participation – </w:t>
      </w:r>
      <w:r w:rsidRPr="00E619C8">
        <w:rPr>
          <w:rFonts w:ascii="Arial" w:eastAsia="Arial" w:hAnsi="Arial" w:cs="Arial"/>
          <w:b/>
          <w:bCs/>
          <w:sz w:val="22"/>
          <w:szCs w:val="22"/>
        </w:rPr>
        <w:t>11.58 points</w:t>
      </w:r>
    </w:p>
    <w:p w14:paraId="63C28538" w14:textId="77777777" w:rsidR="002033A5" w:rsidRPr="00E619C8" w:rsidRDefault="00E113EC">
      <w:pPr>
        <w:numPr>
          <w:ilvl w:val="0"/>
          <w:numId w:val="7"/>
        </w:numPr>
        <w:spacing w:after="240" w:line="300" w:lineRule="auto"/>
        <w:jc w:val="both"/>
        <w:rPr>
          <w:rFonts w:ascii="Arial" w:eastAsia="Arial" w:hAnsi="Arial" w:cs="Arial"/>
          <w:sz w:val="22"/>
          <w:szCs w:val="22"/>
        </w:rPr>
      </w:pPr>
      <w:r w:rsidRPr="00E619C8">
        <w:rPr>
          <w:rFonts w:ascii="Arial" w:eastAsia="Arial" w:hAnsi="Arial" w:cs="Arial"/>
          <w:sz w:val="22"/>
          <w:szCs w:val="22"/>
        </w:rPr>
        <w:t xml:space="preserve">Use of information by citizens – </w:t>
      </w:r>
      <w:r w:rsidRPr="00E619C8">
        <w:rPr>
          <w:rFonts w:ascii="Arial" w:eastAsia="Arial" w:hAnsi="Arial" w:cs="Arial"/>
          <w:b/>
          <w:bCs/>
          <w:sz w:val="22"/>
          <w:szCs w:val="22"/>
        </w:rPr>
        <w:t>25.26 points</w:t>
      </w:r>
    </w:p>
    <w:p w14:paraId="387D9EB2" w14:textId="7777777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The lowest-scoring indicators highlight a critical gap between participation and impact. In particular, the absence of joint projects and the limited evidence of project improvements in response to citizen input indicate that participation mechanisms have not yet been embedded in infrastructure governance processes.</w:t>
      </w:r>
    </w:p>
    <w:p w14:paraId="463DD4FA" w14:textId="36101081"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Overall, the results suggest that while NTB has established basic channels for citizen participation, these mechanisms remain largely consultative and have limited influence on infrastructure planning, implementation, and oversight. Strengthening this dimension will require moving beyond formal participation toward mechanisms that ensure citizen inputs are meaningfully considered and reflected in infrastructure project outcomes.</w:t>
      </w:r>
    </w:p>
    <w:p w14:paraId="4D204B25" w14:textId="77777777" w:rsidR="002033A5" w:rsidRPr="00E619C8" w:rsidRDefault="00E113EC">
      <w:pPr>
        <w:keepNext/>
        <w:keepLines/>
        <w:pBdr>
          <w:top w:val="nil"/>
          <w:left w:val="nil"/>
          <w:bottom w:val="nil"/>
          <w:right w:val="nil"/>
          <w:between w:val="nil"/>
        </w:pBdr>
        <w:spacing w:before="240" w:after="160" w:line="300" w:lineRule="auto"/>
        <w:jc w:val="both"/>
        <w:rPr>
          <w:rFonts w:ascii="Arial" w:eastAsia="Arial" w:hAnsi="Arial" w:cs="Arial"/>
          <w:b/>
          <w:bCs/>
          <w:color w:val="1E4D78"/>
          <w:sz w:val="22"/>
          <w:szCs w:val="22"/>
        </w:rPr>
      </w:pPr>
      <w:bookmarkStart w:id="22" w:name="_heading=h.g72r65oaxtod" w:colFirst="0" w:colLast="0"/>
      <w:bookmarkEnd w:id="22"/>
      <w:r w:rsidRPr="00E619C8">
        <w:rPr>
          <w:rFonts w:ascii="Arial" w:eastAsia="Arial" w:hAnsi="Arial" w:cs="Arial"/>
          <w:b/>
          <w:bCs/>
          <w:color w:val="C00000"/>
          <w:sz w:val="22"/>
          <w:szCs w:val="22"/>
        </w:rPr>
        <w:t xml:space="preserve">3.1.5 Information disclosure </w:t>
      </w:r>
    </w:p>
    <w:p w14:paraId="6AEF997D" w14:textId="5302E76E"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The </w:t>
      </w:r>
      <w:r w:rsidRPr="00E619C8">
        <w:rPr>
          <w:rFonts w:ascii="Arial" w:eastAsia="Arial" w:hAnsi="Arial" w:cs="Arial"/>
          <w:b/>
          <w:bCs/>
          <w:sz w:val="22"/>
          <w:szCs w:val="22"/>
        </w:rPr>
        <w:t>Information Disclosure</w:t>
      </w:r>
      <w:r w:rsidRPr="00E619C8">
        <w:rPr>
          <w:rFonts w:ascii="Arial" w:eastAsia="Arial" w:hAnsi="Arial" w:cs="Arial"/>
          <w:sz w:val="22"/>
          <w:szCs w:val="22"/>
        </w:rPr>
        <w:t xml:space="preserve"> dimension achieves a total score of </w:t>
      </w:r>
      <w:r w:rsidRPr="00E619C8">
        <w:rPr>
          <w:rFonts w:ascii="Arial" w:eastAsia="Arial" w:hAnsi="Arial" w:cs="Arial"/>
          <w:b/>
          <w:bCs/>
          <w:sz w:val="22"/>
          <w:szCs w:val="22"/>
        </w:rPr>
        <w:t>29.83 out of 100</w:t>
      </w:r>
      <w:r w:rsidRPr="00E619C8">
        <w:rPr>
          <w:rFonts w:ascii="Arial" w:eastAsia="Arial" w:hAnsi="Arial" w:cs="Arial"/>
          <w:sz w:val="22"/>
          <w:szCs w:val="22"/>
        </w:rPr>
        <w:t xml:space="preserve">, indicating a generally low level of transparency in the disclosure of infrastructure project information. Figure </w:t>
      </w:r>
      <w:r w:rsidR="00EB65C4" w:rsidRPr="00E619C8">
        <w:rPr>
          <w:rFonts w:ascii="Arial" w:eastAsia="Arial" w:hAnsi="Arial" w:cs="Arial"/>
          <w:sz w:val="22"/>
          <w:szCs w:val="22"/>
        </w:rPr>
        <w:t>8</w:t>
      </w:r>
      <w:r w:rsidRPr="00E619C8">
        <w:rPr>
          <w:rFonts w:ascii="Arial" w:eastAsia="Arial" w:hAnsi="Arial" w:cs="Arial"/>
          <w:sz w:val="22"/>
          <w:szCs w:val="22"/>
        </w:rPr>
        <w:t xml:space="preserve"> presents the scores of the variables and sub-variables, showing that disclosure practices are uneven and concentrated primarily at the </w:t>
      </w:r>
      <w:r w:rsidRPr="00E619C8">
        <w:rPr>
          <w:rFonts w:ascii="Arial" w:eastAsia="Arial" w:hAnsi="Arial" w:cs="Arial"/>
          <w:b/>
          <w:bCs/>
          <w:sz w:val="22"/>
          <w:szCs w:val="22"/>
        </w:rPr>
        <w:t xml:space="preserve">project identification and </w:t>
      </w:r>
      <w:r w:rsidR="004653E6" w:rsidRPr="00E619C8">
        <w:rPr>
          <w:rFonts w:ascii="Arial" w:eastAsia="Arial" w:hAnsi="Arial" w:cs="Arial"/>
          <w:b/>
          <w:bCs/>
          <w:sz w:val="22"/>
          <w:szCs w:val="22"/>
        </w:rPr>
        <w:t xml:space="preserve">construction </w:t>
      </w:r>
      <w:r w:rsidRPr="00E619C8">
        <w:rPr>
          <w:rFonts w:ascii="Arial" w:eastAsia="Arial" w:hAnsi="Arial" w:cs="Arial"/>
          <w:b/>
          <w:bCs/>
          <w:sz w:val="22"/>
          <w:szCs w:val="22"/>
        </w:rPr>
        <w:t>contract procurement stages</w:t>
      </w:r>
      <w:r w:rsidRPr="00E619C8">
        <w:rPr>
          <w:rFonts w:ascii="Arial" w:eastAsia="Arial" w:hAnsi="Arial" w:cs="Arial"/>
          <w:sz w:val="22"/>
          <w:szCs w:val="22"/>
        </w:rPr>
        <w:t xml:space="preserve">, while information related to </w:t>
      </w:r>
      <w:r w:rsidRPr="00E619C8">
        <w:rPr>
          <w:rFonts w:ascii="Arial" w:eastAsia="Arial" w:hAnsi="Arial" w:cs="Arial"/>
          <w:b/>
          <w:bCs/>
          <w:sz w:val="22"/>
          <w:szCs w:val="22"/>
        </w:rPr>
        <w:t>project preparation, supervision, and contract</w:t>
      </w:r>
      <w:r w:rsidR="004653E6" w:rsidRPr="00E619C8">
        <w:rPr>
          <w:rFonts w:ascii="Arial" w:eastAsia="Arial" w:hAnsi="Arial" w:cs="Arial"/>
          <w:b/>
          <w:bCs/>
          <w:sz w:val="22"/>
          <w:szCs w:val="22"/>
        </w:rPr>
        <w:t>s</w:t>
      </w:r>
      <w:r w:rsidRPr="00E619C8">
        <w:rPr>
          <w:rFonts w:ascii="Arial" w:eastAsia="Arial" w:hAnsi="Arial" w:cs="Arial"/>
          <w:b/>
          <w:bCs/>
          <w:sz w:val="22"/>
          <w:szCs w:val="22"/>
        </w:rPr>
        <w:t xml:space="preserve"> implementation</w:t>
      </w:r>
      <w:r w:rsidRPr="00E619C8">
        <w:rPr>
          <w:rFonts w:ascii="Arial" w:eastAsia="Arial" w:hAnsi="Arial" w:cs="Arial"/>
          <w:sz w:val="22"/>
          <w:szCs w:val="22"/>
        </w:rPr>
        <w:t xml:space="preserve"> is largely </w:t>
      </w:r>
      <w:r w:rsidR="003769CA" w:rsidRPr="00E619C8">
        <w:rPr>
          <w:rFonts w:ascii="Arial" w:eastAsia="Arial" w:hAnsi="Arial" w:cs="Arial"/>
          <w:sz w:val="22"/>
          <w:szCs w:val="22"/>
        </w:rPr>
        <w:t xml:space="preserve">missing. </w:t>
      </w:r>
    </w:p>
    <w:p w14:paraId="04E04274" w14:textId="31754C44"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At the variable level, </w:t>
      </w:r>
      <w:r w:rsidRPr="00E619C8">
        <w:rPr>
          <w:rFonts w:ascii="Arial" w:eastAsia="Arial" w:hAnsi="Arial" w:cs="Arial"/>
          <w:b/>
          <w:bCs/>
          <w:sz w:val="22"/>
          <w:szCs w:val="22"/>
        </w:rPr>
        <w:t>Project Identification</w:t>
      </w:r>
      <w:r w:rsidRPr="00E619C8">
        <w:rPr>
          <w:rFonts w:ascii="Arial" w:eastAsia="Arial" w:hAnsi="Arial" w:cs="Arial"/>
          <w:sz w:val="22"/>
          <w:szCs w:val="22"/>
        </w:rPr>
        <w:t xml:space="preserve"> records </w:t>
      </w:r>
      <w:r w:rsidR="003769CA" w:rsidRPr="00E619C8">
        <w:rPr>
          <w:rFonts w:ascii="Arial" w:eastAsia="Arial" w:hAnsi="Arial" w:cs="Arial"/>
          <w:sz w:val="22"/>
          <w:szCs w:val="22"/>
        </w:rPr>
        <w:t>a</w:t>
      </w:r>
      <w:r w:rsidRPr="00E619C8">
        <w:rPr>
          <w:rFonts w:ascii="Arial" w:eastAsia="Arial" w:hAnsi="Arial" w:cs="Arial"/>
          <w:sz w:val="22"/>
          <w:szCs w:val="22"/>
        </w:rPr>
        <w:t xml:space="preserve"> moderate score (</w:t>
      </w:r>
      <w:r w:rsidRPr="00E619C8">
        <w:rPr>
          <w:rFonts w:ascii="Arial" w:eastAsia="Arial" w:hAnsi="Arial" w:cs="Arial"/>
          <w:b/>
          <w:bCs/>
          <w:sz w:val="22"/>
          <w:szCs w:val="22"/>
        </w:rPr>
        <w:t>51.27 points</w:t>
      </w:r>
      <w:r w:rsidRPr="00E619C8">
        <w:rPr>
          <w:rFonts w:ascii="Arial" w:eastAsia="Arial" w:hAnsi="Arial" w:cs="Arial"/>
          <w:sz w:val="22"/>
          <w:szCs w:val="22"/>
        </w:rPr>
        <w:t xml:space="preserve">), reflecting relatively strong disclosure of basic project identifiers such as project reference numbers, names, locations, and ownership. </w:t>
      </w:r>
      <w:r w:rsidR="004653E6" w:rsidRPr="00E619C8">
        <w:rPr>
          <w:rFonts w:ascii="Arial" w:eastAsia="Arial" w:hAnsi="Arial" w:cs="Arial"/>
          <w:b/>
          <w:bCs/>
          <w:sz w:val="22"/>
          <w:szCs w:val="22"/>
        </w:rPr>
        <w:t xml:space="preserve">Construction </w:t>
      </w:r>
      <w:r w:rsidRPr="00E619C8">
        <w:rPr>
          <w:rFonts w:ascii="Arial" w:eastAsia="Arial" w:hAnsi="Arial" w:cs="Arial"/>
          <w:b/>
          <w:bCs/>
          <w:sz w:val="22"/>
          <w:szCs w:val="22"/>
        </w:rPr>
        <w:t>Contract Procurement</w:t>
      </w:r>
      <w:r w:rsidRPr="00E619C8">
        <w:rPr>
          <w:rFonts w:ascii="Arial" w:eastAsia="Arial" w:hAnsi="Arial" w:cs="Arial"/>
          <w:sz w:val="22"/>
          <w:szCs w:val="22"/>
        </w:rPr>
        <w:t xml:space="preserve"> performs better (</w:t>
      </w:r>
      <w:r w:rsidRPr="00E619C8">
        <w:rPr>
          <w:rFonts w:ascii="Arial" w:eastAsia="Arial" w:hAnsi="Arial" w:cs="Arial"/>
          <w:b/>
          <w:bCs/>
          <w:sz w:val="22"/>
          <w:szCs w:val="22"/>
        </w:rPr>
        <w:t>67.75 points</w:t>
      </w:r>
      <w:r w:rsidRPr="00E619C8">
        <w:rPr>
          <w:rFonts w:ascii="Arial" w:eastAsia="Arial" w:hAnsi="Arial" w:cs="Arial"/>
          <w:sz w:val="22"/>
          <w:szCs w:val="22"/>
        </w:rPr>
        <w:t xml:space="preserve">), driven by full disclosure of procurement processes, bidding participation, and contract values. In contrast, </w:t>
      </w:r>
      <w:r w:rsidRPr="00E619C8">
        <w:rPr>
          <w:rFonts w:ascii="Arial" w:eastAsia="Arial" w:hAnsi="Arial" w:cs="Arial"/>
          <w:b/>
          <w:bCs/>
          <w:sz w:val="22"/>
          <w:szCs w:val="22"/>
        </w:rPr>
        <w:t>Project Preparation</w:t>
      </w:r>
      <w:r w:rsidRPr="00E619C8">
        <w:rPr>
          <w:rFonts w:ascii="Arial" w:eastAsia="Arial" w:hAnsi="Arial" w:cs="Arial"/>
          <w:sz w:val="22"/>
          <w:szCs w:val="22"/>
        </w:rPr>
        <w:t xml:space="preserve"> scores </w:t>
      </w:r>
      <w:r w:rsidRPr="00E619C8">
        <w:rPr>
          <w:rFonts w:ascii="Arial" w:eastAsia="Arial" w:hAnsi="Arial" w:cs="Arial"/>
          <w:b/>
          <w:bCs/>
          <w:sz w:val="22"/>
          <w:szCs w:val="22"/>
        </w:rPr>
        <w:t>29.18 points</w:t>
      </w:r>
      <w:r w:rsidRPr="00E619C8">
        <w:rPr>
          <w:rFonts w:ascii="Arial" w:eastAsia="Arial" w:hAnsi="Arial" w:cs="Arial"/>
          <w:sz w:val="22"/>
          <w:szCs w:val="22"/>
        </w:rPr>
        <w:t xml:space="preserve">, indicating weak disclosure of preparatory documentation, while </w:t>
      </w:r>
      <w:r w:rsidRPr="00E619C8">
        <w:rPr>
          <w:rFonts w:ascii="Arial" w:eastAsia="Arial" w:hAnsi="Arial" w:cs="Arial"/>
          <w:b/>
          <w:bCs/>
          <w:sz w:val="22"/>
          <w:szCs w:val="22"/>
        </w:rPr>
        <w:t>Supervision Contract Procurement</w:t>
      </w:r>
      <w:r w:rsidRPr="00E619C8">
        <w:rPr>
          <w:rFonts w:ascii="Arial" w:eastAsia="Arial" w:hAnsi="Arial" w:cs="Arial"/>
          <w:sz w:val="22"/>
          <w:szCs w:val="22"/>
        </w:rPr>
        <w:t xml:space="preserve">, </w:t>
      </w:r>
      <w:r w:rsidR="004653E6" w:rsidRPr="00E619C8">
        <w:rPr>
          <w:rFonts w:ascii="Arial" w:eastAsia="Arial" w:hAnsi="Arial" w:cs="Arial"/>
          <w:b/>
          <w:bCs/>
          <w:sz w:val="22"/>
          <w:szCs w:val="22"/>
        </w:rPr>
        <w:t xml:space="preserve">Construction </w:t>
      </w:r>
      <w:r w:rsidRPr="00E619C8">
        <w:rPr>
          <w:rFonts w:ascii="Arial" w:eastAsia="Arial" w:hAnsi="Arial" w:cs="Arial"/>
          <w:b/>
          <w:bCs/>
          <w:sz w:val="22"/>
          <w:szCs w:val="22"/>
        </w:rPr>
        <w:t>Contract Implementation</w:t>
      </w:r>
      <w:r w:rsidRPr="00E619C8">
        <w:rPr>
          <w:rFonts w:ascii="Arial" w:eastAsia="Arial" w:hAnsi="Arial" w:cs="Arial"/>
          <w:sz w:val="22"/>
          <w:szCs w:val="22"/>
        </w:rPr>
        <w:t xml:space="preserve">, and </w:t>
      </w:r>
      <w:r w:rsidRPr="00E619C8">
        <w:rPr>
          <w:rFonts w:ascii="Arial" w:eastAsia="Arial" w:hAnsi="Arial" w:cs="Arial"/>
          <w:b/>
          <w:bCs/>
          <w:sz w:val="22"/>
          <w:szCs w:val="22"/>
        </w:rPr>
        <w:t>Supervision Contract Implementation</w:t>
      </w:r>
      <w:r w:rsidRPr="00E619C8">
        <w:rPr>
          <w:rFonts w:ascii="Arial" w:eastAsia="Arial" w:hAnsi="Arial" w:cs="Arial"/>
          <w:sz w:val="22"/>
          <w:szCs w:val="22"/>
        </w:rPr>
        <w:t xml:space="preserve"> all score </w:t>
      </w:r>
      <w:r w:rsidRPr="00E619C8">
        <w:rPr>
          <w:rFonts w:ascii="Arial" w:eastAsia="Arial" w:hAnsi="Arial" w:cs="Arial"/>
          <w:b/>
          <w:bCs/>
          <w:sz w:val="22"/>
          <w:szCs w:val="22"/>
        </w:rPr>
        <w:t>0.00</w:t>
      </w:r>
      <w:r w:rsidRPr="00E619C8">
        <w:rPr>
          <w:rFonts w:ascii="Arial" w:eastAsia="Arial" w:hAnsi="Arial" w:cs="Arial"/>
          <w:sz w:val="22"/>
          <w:szCs w:val="22"/>
        </w:rPr>
        <w:t xml:space="preserve">, revealing complete transparency gaps in these </w:t>
      </w:r>
      <w:r w:rsidR="004653E6" w:rsidRPr="00E619C8">
        <w:rPr>
          <w:rFonts w:ascii="Arial" w:eastAsia="Arial" w:hAnsi="Arial" w:cs="Arial"/>
          <w:sz w:val="22"/>
          <w:szCs w:val="22"/>
        </w:rPr>
        <w:t>areas among all evaluated PEs</w:t>
      </w:r>
      <w:r w:rsidRPr="00E619C8">
        <w:rPr>
          <w:rFonts w:ascii="Arial" w:eastAsia="Arial" w:hAnsi="Arial" w:cs="Arial"/>
          <w:sz w:val="22"/>
          <w:szCs w:val="22"/>
        </w:rPr>
        <w:t>.</w:t>
      </w:r>
    </w:p>
    <w:p w14:paraId="66FC1545" w14:textId="335BD2A1" w:rsidR="00EB65C4" w:rsidRPr="00E619C8" w:rsidRDefault="00EB65C4" w:rsidP="00EB65C4">
      <w:pPr>
        <w:spacing w:before="240" w:after="240" w:line="300" w:lineRule="auto"/>
        <w:jc w:val="center"/>
        <w:rPr>
          <w:rFonts w:ascii="Arial" w:eastAsia="Arial" w:hAnsi="Arial" w:cs="Arial"/>
          <w:sz w:val="22"/>
          <w:szCs w:val="22"/>
        </w:rPr>
      </w:pPr>
      <w:r w:rsidRPr="00E619C8">
        <w:rPr>
          <w:noProof/>
        </w:rPr>
        <w:drawing>
          <wp:inline distT="0" distB="0" distL="0" distR="0" wp14:anchorId="64AC4753" wp14:editId="6D5104D8">
            <wp:extent cx="4572000" cy="2590800"/>
            <wp:effectExtent l="0" t="0" r="12700" b="12700"/>
            <wp:docPr id="1429333443" name="Chart 1">
              <a:extLst xmlns:a="http://schemas.openxmlformats.org/drawingml/2006/main">
                <a:ext uri="{FF2B5EF4-FFF2-40B4-BE49-F238E27FC236}">
                  <a16:creationId xmlns:a16="http://schemas.microsoft.com/office/drawing/2014/main" id="{F06C1C3D-DCAC-FA7C-1FF3-094F00C764D5}"/>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14:paraId="2A67FEB4" w14:textId="7B4F75AC" w:rsidR="00EB65C4" w:rsidRPr="00E619C8" w:rsidRDefault="00EB65C4" w:rsidP="00EB65C4">
      <w:pPr>
        <w:spacing w:before="240" w:after="240" w:line="300" w:lineRule="auto"/>
        <w:jc w:val="center"/>
        <w:rPr>
          <w:rFonts w:ascii="Arial" w:eastAsia="Arial" w:hAnsi="Arial" w:cs="Arial"/>
          <w:sz w:val="22"/>
          <w:szCs w:val="22"/>
        </w:rPr>
      </w:pPr>
      <w:r w:rsidRPr="00E619C8">
        <w:rPr>
          <w:rFonts w:ascii="Arial" w:eastAsia="Arial" w:hAnsi="Arial" w:cs="Arial"/>
          <w:sz w:val="22"/>
          <w:szCs w:val="22"/>
        </w:rPr>
        <w:t>Figure 8 Dimension 4: Information Disclosure</w:t>
      </w:r>
    </w:p>
    <w:p w14:paraId="2A622127" w14:textId="77777777" w:rsidR="002033A5" w:rsidRPr="00E619C8" w:rsidRDefault="00E113EC">
      <w:pPr>
        <w:spacing w:before="240" w:after="240" w:line="300" w:lineRule="auto"/>
        <w:jc w:val="both"/>
        <w:rPr>
          <w:rFonts w:ascii="Arial" w:eastAsia="Arial" w:hAnsi="Arial" w:cs="Arial"/>
          <w:b/>
          <w:bCs/>
          <w:color w:val="000000"/>
          <w:sz w:val="26"/>
          <w:szCs w:val="26"/>
        </w:rPr>
      </w:pPr>
      <w:r w:rsidRPr="00E619C8">
        <w:rPr>
          <w:rFonts w:ascii="Arial" w:eastAsia="Arial" w:hAnsi="Arial" w:cs="Arial"/>
          <w:sz w:val="22"/>
          <w:szCs w:val="22"/>
        </w:rPr>
        <w:t xml:space="preserve">Overall, the results suggest that information disclosure is </w:t>
      </w:r>
      <w:r w:rsidRPr="00E619C8">
        <w:rPr>
          <w:rFonts w:ascii="Arial" w:eastAsia="Arial" w:hAnsi="Arial" w:cs="Arial"/>
          <w:b/>
          <w:bCs/>
          <w:sz w:val="22"/>
          <w:szCs w:val="22"/>
        </w:rPr>
        <w:t>front-loaded</w:t>
      </w:r>
      <w:r w:rsidRPr="00E619C8">
        <w:rPr>
          <w:rFonts w:ascii="Arial" w:eastAsia="Arial" w:hAnsi="Arial" w:cs="Arial"/>
          <w:sz w:val="22"/>
          <w:szCs w:val="22"/>
        </w:rPr>
        <w:t>, focusing on early administrative and procurement requirements, but failing to extend across the full infrastructure project lifecycle. This limits the ability of citizens and oversight actors to monitor project impacts, implementation performance, and accountability.</w:t>
      </w:r>
    </w:p>
    <w:p w14:paraId="119E93D0" w14:textId="0DB79EBA"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To better understand the disclosure patterns, indicators are grouped into three performance levels: </w:t>
      </w:r>
      <w:r w:rsidR="00A67228">
        <w:rPr>
          <w:rFonts w:ascii="Arial" w:eastAsia="Arial" w:hAnsi="Arial" w:cs="Arial"/>
          <w:b/>
          <w:bCs/>
          <w:sz w:val="22"/>
          <w:szCs w:val="22"/>
        </w:rPr>
        <w:t>highest-score values, lowest-score values (non-zero), and null-score</w:t>
      </w:r>
      <w:r w:rsidRPr="00E619C8">
        <w:rPr>
          <w:rFonts w:ascii="Arial" w:eastAsia="Arial" w:hAnsi="Arial" w:cs="Arial"/>
          <w:b/>
          <w:bCs/>
          <w:sz w:val="22"/>
          <w:szCs w:val="22"/>
        </w:rPr>
        <w:t xml:space="preserve"> values</w:t>
      </w:r>
      <w:r w:rsidRPr="00E619C8">
        <w:rPr>
          <w:rFonts w:ascii="Arial" w:eastAsia="Arial" w:hAnsi="Arial" w:cs="Arial"/>
          <w:sz w:val="22"/>
          <w:szCs w:val="22"/>
        </w:rPr>
        <w:t>.</w:t>
      </w:r>
    </w:p>
    <w:p w14:paraId="587F7FA7" w14:textId="77777777" w:rsidR="007F3E4C" w:rsidRPr="00E619C8" w:rsidRDefault="007F3E4C" w:rsidP="007F3E4C">
      <w:pPr>
        <w:spacing w:before="240" w:after="240" w:line="300" w:lineRule="auto"/>
        <w:jc w:val="both"/>
        <w:rPr>
          <w:rFonts w:ascii="Arial" w:eastAsia="Arial" w:hAnsi="Arial" w:cs="Arial"/>
          <w:b/>
          <w:bCs/>
          <w:sz w:val="22"/>
          <w:szCs w:val="22"/>
        </w:rPr>
      </w:pPr>
      <w:bookmarkStart w:id="23" w:name="_heading=h.1kl4czikbl4b" w:colFirst="0" w:colLast="0"/>
      <w:bookmarkEnd w:id="23"/>
      <w:r w:rsidRPr="00E619C8">
        <w:rPr>
          <w:rFonts w:ascii="Arial" w:eastAsia="Arial" w:hAnsi="Arial" w:cs="Arial"/>
          <w:b/>
          <w:bCs/>
          <w:sz w:val="22"/>
          <w:szCs w:val="22"/>
        </w:rPr>
        <w:t>A. Indicators with the highest scores</w:t>
      </w:r>
    </w:p>
    <w:p w14:paraId="11464923" w14:textId="7777777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These indicators score </w:t>
      </w:r>
      <w:r w:rsidRPr="00E619C8">
        <w:rPr>
          <w:rFonts w:ascii="Arial" w:eastAsia="Arial" w:hAnsi="Arial" w:cs="Arial"/>
          <w:b/>
          <w:bCs/>
          <w:sz w:val="22"/>
          <w:szCs w:val="22"/>
        </w:rPr>
        <w:t>100.00 points</w:t>
      </w:r>
      <w:r w:rsidRPr="00E619C8">
        <w:rPr>
          <w:rFonts w:ascii="Arial" w:eastAsia="Arial" w:hAnsi="Arial" w:cs="Arial"/>
          <w:sz w:val="22"/>
          <w:szCs w:val="22"/>
        </w:rPr>
        <w:t>, demonstrating strong and consistent disclosure practices.</w:t>
      </w:r>
    </w:p>
    <w:p w14:paraId="50707D09" w14:textId="77777777" w:rsidR="002033A5" w:rsidRPr="00E619C8" w:rsidRDefault="00E113EC">
      <w:pPr>
        <w:numPr>
          <w:ilvl w:val="0"/>
          <w:numId w:val="4"/>
        </w:numPr>
        <w:spacing w:before="240" w:line="300" w:lineRule="auto"/>
        <w:rPr>
          <w:rFonts w:ascii="Arial" w:eastAsia="Arial" w:hAnsi="Arial" w:cs="Arial"/>
          <w:sz w:val="22"/>
          <w:szCs w:val="22"/>
        </w:rPr>
      </w:pPr>
      <w:r w:rsidRPr="00E619C8">
        <w:rPr>
          <w:rFonts w:ascii="Arial" w:eastAsia="Arial" w:hAnsi="Arial" w:cs="Arial"/>
          <w:sz w:val="22"/>
          <w:szCs w:val="22"/>
        </w:rPr>
        <w:t>Project reference number</w:t>
      </w:r>
      <w:r w:rsidRPr="00E619C8">
        <w:rPr>
          <w:rFonts w:ascii="Arial" w:eastAsia="Arial" w:hAnsi="Arial" w:cs="Arial"/>
          <w:sz w:val="22"/>
          <w:szCs w:val="22"/>
        </w:rPr>
        <w:br/>
        <w:t>Each project is assigned a unique identifier that is publicly disclosed, allowing clear traceability across project documentation.</w:t>
      </w:r>
    </w:p>
    <w:p w14:paraId="06799A64" w14:textId="77777777" w:rsidR="002033A5" w:rsidRPr="00E619C8" w:rsidRDefault="00E113EC">
      <w:pPr>
        <w:numPr>
          <w:ilvl w:val="0"/>
          <w:numId w:val="4"/>
        </w:numPr>
        <w:pBdr>
          <w:top w:val="nil"/>
          <w:left w:val="nil"/>
          <w:bottom w:val="nil"/>
          <w:right w:val="nil"/>
          <w:between w:val="nil"/>
        </w:pBdr>
        <w:spacing w:line="300" w:lineRule="auto"/>
        <w:rPr>
          <w:rFonts w:ascii="Arial" w:eastAsia="Arial" w:hAnsi="Arial" w:cs="Arial"/>
          <w:sz w:val="22"/>
          <w:szCs w:val="22"/>
        </w:rPr>
      </w:pPr>
      <w:r w:rsidRPr="00E619C8">
        <w:rPr>
          <w:rFonts w:ascii="Arial" w:eastAsia="Arial" w:hAnsi="Arial" w:cs="Arial"/>
          <w:sz w:val="22"/>
          <w:szCs w:val="22"/>
        </w:rPr>
        <w:t>Project owner</w:t>
      </w:r>
      <w:r w:rsidRPr="00E619C8">
        <w:rPr>
          <w:rFonts w:ascii="Arial" w:eastAsia="Arial" w:hAnsi="Arial" w:cs="Arial"/>
          <w:sz w:val="22"/>
          <w:szCs w:val="22"/>
        </w:rPr>
        <w:br/>
        <w:t>The entity responsible for project development and execution is clearly identified.</w:t>
      </w:r>
    </w:p>
    <w:p w14:paraId="022492D3" w14:textId="77777777" w:rsidR="002033A5" w:rsidRPr="00E619C8" w:rsidRDefault="00E113EC">
      <w:pPr>
        <w:numPr>
          <w:ilvl w:val="0"/>
          <w:numId w:val="4"/>
        </w:numPr>
        <w:pBdr>
          <w:top w:val="nil"/>
          <w:left w:val="nil"/>
          <w:bottom w:val="nil"/>
          <w:right w:val="nil"/>
          <w:between w:val="nil"/>
        </w:pBdr>
        <w:spacing w:line="300" w:lineRule="auto"/>
        <w:rPr>
          <w:rFonts w:ascii="Arial" w:eastAsia="Arial" w:hAnsi="Arial" w:cs="Arial"/>
          <w:sz w:val="22"/>
          <w:szCs w:val="22"/>
        </w:rPr>
      </w:pPr>
      <w:r w:rsidRPr="00E619C8">
        <w:rPr>
          <w:rFonts w:ascii="Arial" w:eastAsia="Arial" w:hAnsi="Arial" w:cs="Arial"/>
          <w:sz w:val="22"/>
          <w:szCs w:val="22"/>
        </w:rPr>
        <w:t>Number of firms bidding</w:t>
      </w:r>
      <w:r w:rsidRPr="00E619C8">
        <w:rPr>
          <w:rFonts w:ascii="Arial" w:eastAsia="Arial" w:hAnsi="Arial" w:cs="Arial"/>
          <w:sz w:val="22"/>
          <w:szCs w:val="22"/>
        </w:rPr>
        <w:br/>
        <w:t>Information on bidder participation in procurement processes is fully disclosed, supporting competition and transparency.</w:t>
      </w:r>
    </w:p>
    <w:p w14:paraId="5021475F" w14:textId="77777777" w:rsidR="002033A5" w:rsidRPr="00E619C8" w:rsidRDefault="00E113EC">
      <w:pPr>
        <w:numPr>
          <w:ilvl w:val="0"/>
          <w:numId w:val="4"/>
        </w:numPr>
        <w:pBdr>
          <w:top w:val="nil"/>
          <w:left w:val="nil"/>
          <w:bottom w:val="nil"/>
          <w:right w:val="nil"/>
          <w:between w:val="nil"/>
        </w:pBdr>
        <w:spacing w:line="300" w:lineRule="auto"/>
        <w:rPr>
          <w:rFonts w:ascii="Arial" w:eastAsia="Arial" w:hAnsi="Arial" w:cs="Arial"/>
          <w:sz w:val="22"/>
          <w:szCs w:val="22"/>
        </w:rPr>
      </w:pPr>
      <w:r w:rsidRPr="00E619C8">
        <w:rPr>
          <w:rFonts w:ascii="Arial" w:eastAsia="Arial" w:hAnsi="Arial" w:cs="Arial"/>
          <w:sz w:val="22"/>
          <w:szCs w:val="22"/>
        </w:rPr>
        <w:t>Contract price</w:t>
      </w:r>
      <w:r w:rsidRPr="00E619C8">
        <w:rPr>
          <w:rFonts w:ascii="Arial" w:eastAsia="Arial" w:hAnsi="Arial" w:cs="Arial"/>
          <w:sz w:val="22"/>
          <w:szCs w:val="22"/>
        </w:rPr>
        <w:br/>
        <w:t>The final contract value for infrastructure execution is clearly stated and publicly available.</w:t>
      </w:r>
    </w:p>
    <w:p w14:paraId="27BBF37D" w14:textId="77777777" w:rsidR="002033A5" w:rsidRPr="00E619C8" w:rsidRDefault="00E113EC">
      <w:pPr>
        <w:numPr>
          <w:ilvl w:val="0"/>
          <w:numId w:val="4"/>
        </w:numPr>
        <w:pBdr>
          <w:top w:val="nil"/>
          <w:left w:val="nil"/>
          <w:bottom w:val="nil"/>
          <w:right w:val="nil"/>
          <w:between w:val="nil"/>
        </w:pBdr>
        <w:spacing w:after="240" w:line="300" w:lineRule="auto"/>
        <w:rPr>
          <w:rFonts w:ascii="Arial" w:eastAsia="Arial" w:hAnsi="Arial" w:cs="Arial"/>
          <w:sz w:val="22"/>
          <w:szCs w:val="22"/>
        </w:rPr>
      </w:pPr>
      <w:r w:rsidRPr="00E619C8">
        <w:rPr>
          <w:rFonts w:ascii="Arial" w:eastAsia="Arial" w:hAnsi="Arial" w:cs="Arial"/>
          <w:sz w:val="22"/>
          <w:szCs w:val="22"/>
        </w:rPr>
        <w:t>Funding sources</w:t>
      </w:r>
      <w:r w:rsidRPr="00E619C8">
        <w:rPr>
          <w:rFonts w:ascii="Arial" w:eastAsia="Arial" w:hAnsi="Arial" w:cs="Arial"/>
          <w:sz w:val="22"/>
          <w:szCs w:val="22"/>
        </w:rPr>
        <w:br/>
        <w:t>Sources of financing, such as national budgets or external funding, are explicitly identified.</w:t>
      </w:r>
    </w:p>
    <w:p w14:paraId="7078C312" w14:textId="5D0B6DC0"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These results indicate that disclosure is strongest for administrative and financial information related to procurement outcomes</w:t>
      </w:r>
      <w:r w:rsidR="00025A65" w:rsidRPr="00E619C8">
        <w:rPr>
          <w:rFonts w:ascii="Arial" w:eastAsia="Arial" w:hAnsi="Arial" w:cs="Arial"/>
          <w:sz w:val="22"/>
          <w:szCs w:val="22"/>
        </w:rPr>
        <w:t>.</w:t>
      </w:r>
    </w:p>
    <w:p w14:paraId="63E08060" w14:textId="7884715E" w:rsidR="002033A5" w:rsidRPr="00E619C8" w:rsidRDefault="007F3E4C" w:rsidP="007F3E4C">
      <w:pPr>
        <w:spacing w:before="240" w:after="240" w:line="300" w:lineRule="auto"/>
        <w:jc w:val="both"/>
        <w:rPr>
          <w:rFonts w:ascii="Arial" w:eastAsia="Arial" w:hAnsi="Arial" w:cs="Arial"/>
          <w:b/>
          <w:bCs/>
          <w:sz w:val="22"/>
          <w:szCs w:val="22"/>
        </w:rPr>
      </w:pPr>
      <w:bookmarkStart w:id="24" w:name="_heading=h.l2m9tsu50jnt" w:colFirst="0" w:colLast="0"/>
      <w:bookmarkEnd w:id="24"/>
      <w:r w:rsidRPr="00E619C8">
        <w:rPr>
          <w:rFonts w:ascii="Arial" w:eastAsia="Arial" w:hAnsi="Arial" w:cs="Arial"/>
          <w:b/>
          <w:bCs/>
          <w:sz w:val="22"/>
          <w:szCs w:val="22"/>
        </w:rPr>
        <w:t xml:space="preserve">B. Indicators with the lowest scores </w:t>
      </w:r>
      <w:r w:rsidR="003135B4" w:rsidRPr="00E619C8">
        <w:rPr>
          <w:rFonts w:ascii="Arial" w:eastAsia="Arial" w:hAnsi="Arial" w:cs="Arial"/>
          <w:b/>
          <w:bCs/>
          <w:color w:val="000000"/>
          <w:sz w:val="22"/>
          <w:szCs w:val="22"/>
        </w:rPr>
        <w:t>(non-zero)</w:t>
      </w:r>
    </w:p>
    <w:p w14:paraId="36A9BFDD" w14:textId="7777777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These indicators show partial disclosure, suggesting that information is available but incomplete, unclear, or inconsistently published.</w:t>
      </w:r>
    </w:p>
    <w:p w14:paraId="293244B9" w14:textId="77777777" w:rsidR="002033A5" w:rsidRPr="00E619C8" w:rsidRDefault="00E113EC">
      <w:pPr>
        <w:numPr>
          <w:ilvl w:val="0"/>
          <w:numId w:val="28"/>
        </w:numPr>
        <w:spacing w:before="240" w:line="300" w:lineRule="auto"/>
        <w:rPr>
          <w:rFonts w:ascii="Arial" w:eastAsia="Arial" w:hAnsi="Arial" w:cs="Arial"/>
          <w:sz w:val="22"/>
          <w:szCs w:val="22"/>
        </w:rPr>
      </w:pPr>
      <w:r w:rsidRPr="00E619C8">
        <w:rPr>
          <w:rFonts w:ascii="Arial" w:eastAsia="Arial" w:hAnsi="Arial" w:cs="Arial"/>
          <w:sz w:val="22"/>
          <w:szCs w:val="22"/>
        </w:rPr>
        <w:t>Project name – 64.91 points</w:t>
      </w:r>
      <w:r w:rsidRPr="00E619C8">
        <w:rPr>
          <w:rFonts w:ascii="Arial" w:eastAsia="Arial" w:hAnsi="Arial" w:cs="Arial"/>
          <w:sz w:val="22"/>
          <w:szCs w:val="22"/>
        </w:rPr>
        <w:br/>
        <w:t>While project names are disclosed, inconsistencies in naming across documents reduce clarity.</w:t>
      </w:r>
    </w:p>
    <w:p w14:paraId="2C470BB1" w14:textId="60069DC0" w:rsidR="002033A5" w:rsidRPr="00E619C8" w:rsidRDefault="00E113EC">
      <w:pPr>
        <w:numPr>
          <w:ilvl w:val="0"/>
          <w:numId w:val="28"/>
        </w:numPr>
        <w:pBdr>
          <w:top w:val="nil"/>
          <w:left w:val="nil"/>
          <w:bottom w:val="nil"/>
          <w:right w:val="nil"/>
          <w:between w:val="nil"/>
        </w:pBdr>
        <w:spacing w:line="300" w:lineRule="auto"/>
        <w:rPr>
          <w:rFonts w:ascii="Arial" w:eastAsia="Arial" w:hAnsi="Arial" w:cs="Arial"/>
          <w:sz w:val="22"/>
          <w:szCs w:val="22"/>
        </w:rPr>
      </w:pPr>
      <w:r w:rsidRPr="00E619C8">
        <w:rPr>
          <w:rFonts w:ascii="Arial" w:eastAsia="Arial" w:hAnsi="Arial" w:cs="Arial"/>
          <w:sz w:val="22"/>
          <w:szCs w:val="22"/>
        </w:rPr>
        <w:t>Project description – 31.93 points</w:t>
      </w:r>
      <w:r w:rsidRPr="00E619C8">
        <w:rPr>
          <w:rFonts w:ascii="Arial" w:eastAsia="Arial" w:hAnsi="Arial" w:cs="Arial"/>
          <w:sz w:val="22"/>
          <w:szCs w:val="22"/>
        </w:rPr>
        <w:br/>
        <w:t xml:space="preserve">Descriptions exist but provide </w:t>
      </w:r>
      <w:r w:rsidR="00A67228">
        <w:rPr>
          <w:rFonts w:ascii="Arial" w:eastAsia="Arial" w:hAnsi="Arial" w:cs="Arial"/>
          <w:sz w:val="22"/>
          <w:szCs w:val="22"/>
        </w:rPr>
        <w:t xml:space="preserve">a </w:t>
      </w:r>
      <w:r w:rsidRPr="00E619C8">
        <w:rPr>
          <w:rFonts w:ascii="Arial" w:eastAsia="Arial" w:hAnsi="Arial" w:cs="Arial"/>
          <w:sz w:val="22"/>
          <w:szCs w:val="22"/>
        </w:rPr>
        <w:t>limited explanation of scope, outputs, or expected benefits.</w:t>
      </w:r>
    </w:p>
    <w:p w14:paraId="3C985699" w14:textId="41CB4CB1" w:rsidR="002033A5" w:rsidRPr="00E619C8" w:rsidRDefault="00E113EC">
      <w:pPr>
        <w:numPr>
          <w:ilvl w:val="0"/>
          <w:numId w:val="28"/>
        </w:numPr>
        <w:pBdr>
          <w:top w:val="nil"/>
          <w:left w:val="nil"/>
          <w:bottom w:val="nil"/>
          <w:right w:val="nil"/>
          <w:between w:val="nil"/>
        </w:pBdr>
        <w:spacing w:line="300" w:lineRule="auto"/>
        <w:rPr>
          <w:rFonts w:ascii="Arial" w:eastAsia="Arial" w:hAnsi="Arial" w:cs="Arial"/>
          <w:sz w:val="22"/>
          <w:szCs w:val="22"/>
        </w:rPr>
      </w:pPr>
      <w:r w:rsidRPr="00E619C8">
        <w:rPr>
          <w:rFonts w:ascii="Arial" w:eastAsia="Arial" w:hAnsi="Arial" w:cs="Arial"/>
          <w:sz w:val="22"/>
          <w:szCs w:val="22"/>
        </w:rPr>
        <w:t>Project purpose – 28.95 points</w:t>
      </w:r>
      <w:r w:rsidRPr="00E619C8">
        <w:rPr>
          <w:rFonts w:ascii="Arial" w:eastAsia="Arial" w:hAnsi="Arial" w:cs="Arial"/>
          <w:sz w:val="22"/>
          <w:szCs w:val="22"/>
        </w:rPr>
        <w:br/>
        <w:t xml:space="preserve">Social and economic objectives are weakly articulated, limiting understanding of </w:t>
      </w:r>
      <w:r w:rsidR="00A67228">
        <w:rPr>
          <w:rFonts w:ascii="Arial" w:eastAsia="Arial" w:hAnsi="Arial" w:cs="Arial"/>
          <w:sz w:val="22"/>
          <w:szCs w:val="22"/>
        </w:rPr>
        <w:t xml:space="preserve">the </w:t>
      </w:r>
      <w:r w:rsidRPr="00E619C8">
        <w:rPr>
          <w:rFonts w:ascii="Arial" w:eastAsia="Arial" w:hAnsi="Arial" w:cs="Arial"/>
          <w:sz w:val="22"/>
          <w:szCs w:val="22"/>
        </w:rPr>
        <w:t>project rationale.</w:t>
      </w:r>
    </w:p>
    <w:p w14:paraId="7C35AC9A" w14:textId="77777777" w:rsidR="002033A5" w:rsidRPr="00E619C8" w:rsidRDefault="00E113EC">
      <w:pPr>
        <w:numPr>
          <w:ilvl w:val="0"/>
          <w:numId w:val="28"/>
        </w:numPr>
        <w:pBdr>
          <w:top w:val="nil"/>
          <w:left w:val="nil"/>
          <w:bottom w:val="nil"/>
          <w:right w:val="nil"/>
          <w:between w:val="nil"/>
        </w:pBdr>
        <w:spacing w:after="240" w:line="300" w:lineRule="auto"/>
        <w:rPr>
          <w:rFonts w:ascii="Arial" w:eastAsia="Arial" w:hAnsi="Arial" w:cs="Arial"/>
          <w:sz w:val="22"/>
          <w:szCs w:val="22"/>
        </w:rPr>
      </w:pPr>
      <w:r w:rsidRPr="00E619C8">
        <w:rPr>
          <w:rFonts w:ascii="Arial" w:eastAsia="Arial" w:hAnsi="Arial" w:cs="Arial"/>
          <w:sz w:val="22"/>
          <w:szCs w:val="22"/>
        </w:rPr>
        <w:t>Contact details of responsible officers – 1.58 points</w:t>
      </w:r>
      <w:r w:rsidRPr="00E619C8">
        <w:rPr>
          <w:rFonts w:ascii="Arial" w:eastAsia="Arial" w:hAnsi="Arial" w:cs="Arial"/>
          <w:sz w:val="22"/>
          <w:szCs w:val="22"/>
        </w:rPr>
        <w:br/>
        <w:t>Disclosure of accountable individuals is extremely limited, weakening institutional accountability.</w:t>
      </w:r>
    </w:p>
    <w:p w14:paraId="5CFA4D5A" w14:textId="46455229" w:rsidR="007F3E4C" w:rsidRPr="00E619C8" w:rsidRDefault="007F3E4C" w:rsidP="007F3E4C">
      <w:pPr>
        <w:spacing w:before="240" w:after="240" w:line="300" w:lineRule="auto"/>
        <w:jc w:val="both"/>
        <w:rPr>
          <w:rFonts w:ascii="Arial" w:eastAsia="Arial" w:hAnsi="Arial" w:cs="Arial"/>
          <w:b/>
          <w:bCs/>
          <w:sz w:val="22"/>
          <w:szCs w:val="22"/>
        </w:rPr>
      </w:pPr>
      <w:r w:rsidRPr="00E619C8">
        <w:rPr>
          <w:rFonts w:ascii="Arial" w:eastAsia="Arial" w:hAnsi="Arial" w:cs="Arial"/>
          <w:b/>
          <w:bCs/>
          <w:sz w:val="22"/>
          <w:szCs w:val="22"/>
        </w:rPr>
        <w:t>C. Indicators with zero score values</w:t>
      </w:r>
    </w:p>
    <w:p w14:paraId="49E18F06" w14:textId="77777777" w:rsidR="002033A5" w:rsidRPr="00E619C8" w:rsidRDefault="00E113EC">
      <w:pPr>
        <w:spacing w:before="240" w:after="240" w:line="300" w:lineRule="auto"/>
        <w:jc w:val="both"/>
        <w:rPr>
          <w:rFonts w:ascii="Arial" w:eastAsia="Arial" w:hAnsi="Arial" w:cs="Arial"/>
          <w:b/>
          <w:bCs/>
          <w:color w:val="000000"/>
          <w:sz w:val="26"/>
          <w:szCs w:val="26"/>
        </w:rPr>
      </w:pPr>
      <w:r w:rsidRPr="00E619C8">
        <w:rPr>
          <w:rFonts w:ascii="Arial" w:eastAsia="Arial" w:hAnsi="Arial" w:cs="Arial"/>
          <w:sz w:val="22"/>
          <w:szCs w:val="22"/>
        </w:rPr>
        <w:t xml:space="preserve">These scores indicate that although disclosure occurs, it is often </w:t>
      </w:r>
      <w:r w:rsidRPr="00E619C8">
        <w:rPr>
          <w:rFonts w:ascii="Arial" w:eastAsia="Arial" w:hAnsi="Arial" w:cs="Arial"/>
          <w:b/>
          <w:bCs/>
          <w:sz w:val="22"/>
          <w:szCs w:val="22"/>
        </w:rPr>
        <w:t>procedural rather than informative</w:t>
      </w:r>
      <w:r w:rsidRPr="00E619C8">
        <w:rPr>
          <w:rFonts w:ascii="Arial" w:eastAsia="Arial" w:hAnsi="Arial" w:cs="Arial"/>
          <w:sz w:val="22"/>
          <w:szCs w:val="22"/>
        </w:rPr>
        <w:t>, insufficient to support meaningful public understanding or engagement.</w:t>
      </w:r>
    </w:p>
    <w:p w14:paraId="6D38ADFF" w14:textId="7777777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These indicators score 0.00 points, indicating a complete absence of proactive disclosure.</w:t>
      </w:r>
    </w:p>
    <w:p w14:paraId="32780127" w14:textId="77777777" w:rsidR="002033A5" w:rsidRPr="00E619C8" w:rsidRDefault="00E113EC">
      <w:pPr>
        <w:numPr>
          <w:ilvl w:val="0"/>
          <w:numId w:val="27"/>
        </w:numPr>
        <w:spacing w:before="240" w:line="300" w:lineRule="auto"/>
        <w:rPr>
          <w:rFonts w:ascii="Arial" w:eastAsia="Arial" w:hAnsi="Arial" w:cs="Arial"/>
          <w:sz w:val="22"/>
          <w:szCs w:val="22"/>
        </w:rPr>
      </w:pPr>
      <w:r w:rsidRPr="00E619C8">
        <w:rPr>
          <w:rFonts w:ascii="Arial" w:eastAsia="Arial" w:hAnsi="Arial" w:cs="Arial"/>
          <w:sz w:val="22"/>
          <w:szCs w:val="22"/>
        </w:rPr>
        <w:t>Environmental impact</w:t>
      </w:r>
      <w:r w:rsidRPr="00E619C8">
        <w:rPr>
          <w:rFonts w:ascii="Arial" w:eastAsia="Arial" w:hAnsi="Arial" w:cs="Arial"/>
          <w:sz w:val="22"/>
          <w:szCs w:val="22"/>
        </w:rPr>
        <w:br/>
        <w:t>No environmental impact assessments or related documentation are disclosed.</w:t>
      </w:r>
    </w:p>
    <w:p w14:paraId="40D11633" w14:textId="77777777" w:rsidR="002033A5" w:rsidRPr="00E619C8" w:rsidRDefault="00E113EC">
      <w:pPr>
        <w:numPr>
          <w:ilvl w:val="0"/>
          <w:numId w:val="27"/>
        </w:numPr>
        <w:pBdr>
          <w:top w:val="nil"/>
          <w:left w:val="nil"/>
          <w:bottom w:val="nil"/>
          <w:right w:val="nil"/>
          <w:between w:val="nil"/>
        </w:pBdr>
        <w:spacing w:line="300" w:lineRule="auto"/>
        <w:rPr>
          <w:rFonts w:ascii="Arial" w:eastAsia="Arial" w:hAnsi="Arial" w:cs="Arial"/>
          <w:sz w:val="22"/>
          <w:szCs w:val="22"/>
        </w:rPr>
      </w:pPr>
      <w:r w:rsidRPr="00E619C8">
        <w:rPr>
          <w:rFonts w:ascii="Arial" w:eastAsia="Arial" w:hAnsi="Arial" w:cs="Arial"/>
          <w:sz w:val="22"/>
          <w:szCs w:val="22"/>
        </w:rPr>
        <w:t>Land and settlement impact</w:t>
      </w:r>
      <w:r w:rsidRPr="00E619C8">
        <w:rPr>
          <w:rFonts w:ascii="Arial" w:eastAsia="Arial" w:hAnsi="Arial" w:cs="Arial"/>
          <w:sz w:val="22"/>
          <w:szCs w:val="22"/>
        </w:rPr>
        <w:br/>
        <w:t>Information on land acquisition, resettlement, or social impacts is not publicly available.</w:t>
      </w:r>
    </w:p>
    <w:p w14:paraId="304D84FC" w14:textId="77777777" w:rsidR="002033A5" w:rsidRPr="00E619C8" w:rsidRDefault="00E113EC">
      <w:pPr>
        <w:numPr>
          <w:ilvl w:val="0"/>
          <w:numId w:val="27"/>
        </w:numPr>
        <w:pBdr>
          <w:top w:val="nil"/>
          <w:left w:val="nil"/>
          <w:bottom w:val="nil"/>
          <w:right w:val="nil"/>
          <w:between w:val="nil"/>
        </w:pBdr>
        <w:spacing w:line="300" w:lineRule="auto"/>
        <w:rPr>
          <w:rFonts w:ascii="Arial" w:eastAsia="Arial" w:hAnsi="Arial" w:cs="Arial"/>
          <w:sz w:val="22"/>
          <w:szCs w:val="22"/>
        </w:rPr>
      </w:pPr>
      <w:r w:rsidRPr="00E619C8">
        <w:rPr>
          <w:rFonts w:ascii="Arial" w:eastAsia="Arial" w:hAnsi="Arial" w:cs="Arial"/>
          <w:sz w:val="22"/>
          <w:szCs w:val="22"/>
        </w:rPr>
        <w:t>Supervision contract procurement (all indicators)</w:t>
      </w:r>
      <w:r w:rsidRPr="00E619C8">
        <w:rPr>
          <w:rFonts w:ascii="Arial" w:eastAsia="Arial" w:hAnsi="Arial" w:cs="Arial"/>
          <w:sz w:val="22"/>
          <w:szCs w:val="22"/>
        </w:rPr>
        <w:br/>
        <w:t>There is no disclosure regarding procurement processes, contract scope, duration, or contractors responsible for project supervision.</w:t>
      </w:r>
    </w:p>
    <w:p w14:paraId="28F384F3" w14:textId="77777777" w:rsidR="002033A5" w:rsidRPr="00E619C8" w:rsidRDefault="00E113EC">
      <w:pPr>
        <w:numPr>
          <w:ilvl w:val="0"/>
          <w:numId w:val="27"/>
        </w:numPr>
        <w:pBdr>
          <w:top w:val="nil"/>
          <w:left w:val="nil"/>
          <w:bottom w:val="nil"/>
          <w:right w:val="nil"/>
          <w:between w:val="nil"/>
        </w:pBdr>
        <w:spacing w:line="300" w:lineRule="auto"/>
        <w:rPr>
          <w:rFonts w:ascii="Arial" w:eastAsia="Arial" w:hAnsi="Arial" w:cs="Arial"/>
          <w:sz w:val="22"/>
          <w:szCs w:val="22"/>
        </w:rPr>
      </w:pPr>
      <w:r w:rsidRPr="00E619C8">
        <w:rPr>
          <w:rFonts w:ascii="Arial" w:eastAsia="Arial" w:hAnsi="Arial" w:cs="Arial"/>
          <w:sz w:val="22"/>
          <w:szCs w:val="22"/>
        </w:rPr>
        <w:t>Execution contract implementation (all indicators)</w:t>
      </w:r>
      <w:r w:rsidRPr="00E619C8">
        <w:rPr>
          <w:rFonts w:ascii="Arial" w:eastAsia="Arial" w:hAnsi="Arial" w:cs="Arial"/>
          <w:sz w:val="22"/>
          <w:szCs w:val="22"/>
        </w:rPr>
        <w:br/>
        <w:t>No information is disclosed on contract variations related to price, duration, or scope during implementation.</w:t>
      </w:r>
    </w:p>
    <w:p w14:paraId="21402A1B" w14:textId="51EC72EA" w:rsidR="002033A5" w:rsidRPr="00E619C8" w:rsidRDefault="00E113EC">
      <w:pPr>
        <w:numPr>
          <w:ilvl w:val="0"/>
          <w:numId w:val="27"/>
        </w:numPr>
        <w:pBdr>
          <w:top w:val="nil"/>
          <w:left w:val="nil"/>
          <w:bottom w:val="nil"/>
          <w:right w:val="nil"/>
          <w:between w:val="nil"/>
        </w:pBdr>
        <w:spacing w:after="240" w:line="300" w:lineRule="auto"/>
        <w:rPr>
          <w:rFonts w:ascii="Arial" w:eastAsia="Arial" w:hAnsi="Arial" w:cs="Arial"/>
          <w:sz w:val="22"/>
          <w:szCs w:val="22"/>
        </w:rPr>
      </w:pPr>
      <w:r w:rsidRPr="00E619C8">
        <w:rPr>
          <w:rFonts w:ascii="Arial" w:eastAsia="Arial" w:hAnsi="Arial" w:cs="Arial"/>
          <w:sz w:val="22"/>
          <w:szCs w:val="22"/>
        </w:rPr>
        <w:t>Supervision contract implementation (all indicators)</w:t>
      </w:r>
      <w:r w:rsidRPr="00E619C8">
        <w:rPr>
          <w:rFonts w:ascii="Arial" w:eastAsia="Arial" w:hAnsi="Arial" w:cs="Arial"/>
          <w:sz w:val="22"/>
          <w:szCs w:val="22"/>
        </w:rPr>
        <w:br/>
        <w:t xml:space="preserve"> Oversight activities, supervision contract performance, and any related contract changes are entirely undisclosed.</w:t>
      </w:r>
    </w:p>
    <w:p w14:paraId="359C20C1" w14:textId="36BED2FC" w:rsidR="002033A5" w:rsidRPr="00E619C8" w:rsidRDefault="00500600">
      <w:pPr>
        <w:spacing w:before="240" w:after="240" w:line="300" w:lineRule="auto"/>
        <w:jc w:val="both"/>
        <w:rPr>
          <w:rFonts w:ascii="Arial" w:eastAsia="Arial" w:hAnsi="Arial" w:cs="Arial"/>
          <w:b/>
          <w:bCs/>
          <w:color w:val="000000"/>
          <w:sz w:val="26"/>
          <w:szCs w:val="26"/>
        </w:rPr>
      </w:pPr>
      <w:r w:rsidRPr="00E619C8">
        <w:rPr>
          <w:rFonts w:ascii="Arial" w:eastAsia="Arial" w:hAnsi="Arial" w:cs="Arial"/>
          <w:sz w:val="22"/>
          <w:szCs w:val="22"/>
        </w:rPr>
        <w:t xml:space="preserve">These scores reveal critical transparency gaps during the </w:t>
      </w:r>
      <w:r w:rsidRPr="00E619C8">
        <w:rPr>
          <w:rFonts w:ascii="Arial" w:eastAsia="Arial" w:hAnsi="Arial" w:cs="Arial"/>
          <w:b/>
          <w:bCs/>
          <w:sz w:val="22"/>
          <w:szCs w:val="22"/>
        </w:rPr>
        <w:t>implementation and oversight phases</w:t>
      </w:r>
      <w:r w:rsidRPr="00E619C8">
        <w:rPr>
          <w:rFonts w:ascii="Arial" w:eastAsia="Arial" w:hAnsi="Arial" w:cs="Arial"/>
          <w:sz w:val="22"/>
          <w:szCs w:val="22"/>
        </w:rPr>
        <w:t>, which are essential for detecting delays, cost overruns, and deviations from approved plans.</w:t>
      </w:r>
    </w:p>
    <w:p w14:paraId="41A168E0" w14:textId="7777777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The three-level classification highlights a structural weakness in information disclosure practices. While strong performance in procurement-related indicators demonstrates compliance with formal disclosure requirements, the absence of information during project preparation, supervision, and implementation severely limits transparency.</w:t>
      </w:r>
    </w:p>
    <w:p w14:paraId="68412E44" w14:textId="0F890A7E"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This pattern restricts public oversight to the moment of contract award, preventing citizens from assessing whether infrastructure projects are delivered as planned, within budget, and with acceptable social and environmental outcomes. Addressing the null-score indicators—particularly those related to environmental impacts, supervision contracts, and contract variations—should be </w:t>
      </w:r>
      <w:r w:rsidR="00A67228">
        <w:rPr>
          <w:rFonts w:ascii="Arial" w:eastAsia="Arial" w:hAnsi="Arial" w:cs="Arial"/>
          <w:sz w:val="22"/>
          <w:szCs w:val="22"/>
        </w:rPr>
        <w:t>prioritised</w:t>
      </w:r>
      <w:r w:rsidRPr="00E619C8">
        <w:rPr>
          <w:rFonts w:ascii="Arial" w:eastAsia="Arial" w:hAnsi="Arial" w:cs="Arial"/>
          <w:sz w:val="22"/>
          <w:szCs w:val="22"/>
        </w:rPr>
        <w:t xml:space="preserve"> to strengthen accountability and align disclosure practices with CoST IDS and OC4IDS standards.</w:t>
      </w:r>
    </w:p>
    <w:p w14:paraId="2EB71146" w14:textId="7877003B" w:rsidR="002033A5" w:rsidRPr="00E619C8" w:rsidRDefault="00E113EC">
      <w:pPr>
        <w:pStyle w:val="Heading2"/>
        <w:pBdr>
          <w:top w:val="nil"/>
          <w:left w:val="nil"/>
          <w:bottom w:val="nil"/>
          <w:right w:val="nil"/>
          <w:between w:val="nil"/>
        </w:pBdr>
        <w:spacing w:before="320" w:after="160" w:line="276" w:lineRule="auto"/>
        <w:jc w:val="both"/>
        <w:rPr>
          <w:rFonts w:ascii="Arial" w:eastAsia="Arial" w:hAnsi="Arial" w:cs="Arial"/>
          <w:sz w:val="22"/>
          <w:szCs w:val="22"/>
        </w:rPr>
      </w:pPr>
      <w:bookmarkStart w:id="25" w:name="_Toc227235260"/>
      <w:r w:rsidRPr="00E619C8">
        <w:rPr>
          <w:rFonts w:ascii="Arial" w:eastAsia="Arial" w:hAnsi="Arial" w:cs="Arial"/>
          <w:b/>
          <w:bCs/>
          <w:color w:val="C00000"/>
          <w:sz w:val="28"/>
          <w:szCs w:val="28"/>
        </w:rPr>
        <w:t>3.2 Procuring entities ITI score</w:t>
      </w:r>
      <w:bookmarkEnd w:id="25"/>
      <w:r w:rsidRPr="00E619C8">
        <w:rPr>
          <w:rFonts w:ascii="Arial" w:eastAsia="Arial" w:hAnsi="Arial" w:cs="Arial"/>
          <w:sz w:val="22"/>
          <w:szCs w:val="22"/>
        </w:rPr>
        <w:t xml:space="preserve"> </w:t>
      </w:r>
    </w:p>
    <w:p w14:paraId="3556AD47" w14:textId="51F9356D" w:rsidR="001952D2" w:rsidRPr="00E619C8" w:rsidRDefault="00E113EC" w:rsidP="007F3E4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This section presents the ITI results by procuring entities (PEs) and analyses their relative performance. The analysis is based on 19 procuring entities evaluated under the ITI framework. The results are presented through rankings, score distribution, quartile analysis, and sub-rankings to provide a comprehensive overview of performance differences among PEs.</w:t>
      </w:r>
    </w:p>
    <w:p w14:paraId="6E12B93E" w14:textId="77777777" w:rsidR="002033A5" w:rsidRPr="00E619C8" w:rsidRDefault="00E113EC">
      <w:pPr>
        <w:numPr>
          <w:ilvl w:val="0"/>
          <w:numId w:val="12"/>
        </w:numPr>
        <w:pBdr>
          <w:top w:val="nil"/>
          <w:left w:val="nil"/>
          <w:bottom w:val="nil"/>
          <w:right w:val="nil"/>
          <w:between w:val="nil"/>
        </w:pBdr>
        <w:spacing w:after="160" w:line="300" w:lineRule="auto"/>
        <w:jc w:val="both"/>
        <w:rPr>
          <w:rFonts w:ascii="Arial" w:eastAsia="Arial" w:hAnsi="Arial" w:cs="Arial"/>
          <w:b/>
          <w:bCs/>
        </w:rPr>
      </w:pPr>
      <w:r w:rsidRPr="00E619C8">
        <w:rPr>
          <w:rFonts w:ascii="Arial" w:eastAsia="Arial" w:hAnsi="Arial" w:cs="Arial"/>
          <w:b/>
          <w:bCs/>
          <w:sz w:val="22"/>
          <w:szCs w:val="22"/>
        </w:rPr>
        <w:t>Ranking of Procuring Entities</w:t>
      </w:r>
    </w:p>
    <w:p w14:paraId="5F598319" w14:textId="0A1CB04A"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Table </w:t>
      </w:r>
      <w:r w:rsidR="00DD0F1A" w:rsidRPr="00E619C8">
        <w:rPr>
          <w:rFonts w:ascii="Arial" w:eastAsia="Arial" w:hAnsi="Arial" w:cs="Arial"/>
          <w:sz w:val="22"/>
          <w:szCs w:val="22"/>
        </w:rPr>
        <w:t xml:space="preserve">5 </w:t>
      </w:r>
      <w:r w:rsidRPr="00E619C8">
        <w:rPr>
          <w:rFonts w:ascii="Arial" w:eastAsia="Arial" w:hAnsi="Arial" w:cs="Arial"/>
          <w:sz w:val="22"/>
          <w:szCs w:val="22"/>
        </w:rPr>
        <w:t xml:space="preserve">presents the top 10 Procuring Entities (PEs) ranked </w:t>
      </w:r>
      <w:r w:rsidR="00214C90">
        <w:rPr>
          <w:rFonts w:ascii="Arial" w:eastAsia="Arial" w:hAnsi="Arial" w:cs="Arial"/>
          <w:sz w:val="22"/>
          <w:szCs w:val="22"/>
        </w:rPr>
        <w:t xml:space="preserve">by their Infrastructure Transparency Index (ITI) scores, along with their scores in Dimensions 2 (Capacities and Processes), 3 (Citizen Participation), and </w:t>
      </w:r>
      <w:r w:rsidRPr="00E619C8">
        <w:rPr>
          <w:rFonts w:ascii="Arial" w:eastAsia="Arial" w:hAnsi="Arial" w:cs="Arial"/>
          <w:sz w:val="22"/>
          <w:szCs w:val="22"/>
        </w:rPr>
        <w:t>4 (Information Disclosure).</w:t>
      </w:r>
    </w:p>
    <w:tbl>
      <w:tblPr>
        <w:tblW w:w="9067" w:type="dxa"/>
        <w:tblLook w:val="04A0" w:firstRow="1" w:lastRow="0" w:firstColumn="1" w:lastColumn="0" w:noHBand="0" w:noVBand="1"/>
      </w:tblPr>
      <w:tblGrid>
        <w:gridCol w:w="740"/>
        <w:gridCol w:w="2653"/>
        <w:gridCol w:w="966"/>
        <w:gridCol w:w="1695"/>
        <w:gridCol w:w="1463"/>
        <w:gridCol w:w="1550"/>
      </w:tblGrid>
      <w:tr w:rsidR="00FC1D48" w:rsidRPr="00E619C8" w14:paraId="65DDEC53" w14:textId="77777777" w:rsidTr="00FC1D48">
        <w:trPr>
          <w:trHeight w:val="888"/>
          <w:tblHeader/>
        </w:trPr>
        <w:tc>
          <w:tcPr>
            <w:tcW w:w="74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00601E41" w14:textId="77777777" w:rsidR="00221BE2" w:rsidRPr="00E619C8" w:rsidRDefault="00221BE2">
            <w:pPr>
              <w:jc w:val="center"/>
              <w:rPr>
                <w:rFonts w:ascii="Arial" w:hAnsi="Arial" w:cs="Arial"/>
                <w:color w:val="FFFFFF"/>
                <w:sz w:val="22"/>
                <w:szCs w:val="22"/>
              </w:rPr>
            </w:pPr>
            <w:r w:rsidRPr="00E619C8">
              <w:rPr>
                <w:rFonts w:ascii="Arial" w:hAnsi="Arial" w:cs="Arial"/>
                <w:color w:val="FFFFFF"/>
                <w:sz w:val="22"/>
                <w:szCs w:val="22"/>
              </w:rPr>
              <w:t>Rank</w:t>
            </w:r>
          </w:p>
        </w:tc>
        <w:tc>
          <w:tcPr>
            <w:tcW w:w="2653" w:type="dxa"/>
            <w:tcBorders>
              <w:top w:val="single" w:sz="4" w:space="0" w:color="auto"/>
              <w:left w:val="nil"/>
              <w:bottom w:val="single" w:sz="4" w:space="0" w:color="auto"/>
              <w:right w:val="single" w:sz="4" w:space="0" w:color="auto"/>
            </w:tcBorders>
            <w:shd w:val="clear" w:color="auto" w:fill="C00000"/>
            <w:vAlign w:val="center"/>
            <w:hideMark/>
          </w:tcPr>
          <w:p w14:paraId="02755F1C" w14:textId="77777777" w:rsidR="00221BE2" w:rsidRPr="00E619C8" w:rsidRDefault="00221BE2">
            <w:pPr>
              <w:jc w:val="center"/>
              <w:rPr>
                <w:rFonts w:ascii="Arial" w:hAnsi="Arial" w:cs="Arial"/>
                <w:color w:val="FFFFFF"/>
                <w:sz w:val="22"/>
                <w:szCs w:val="22"/>
              </w:rPr>
            </w:pPr>
            <w:r w:rsidRPr="00E619C8">
              <w:rPr>
                <w:rFonts w:ascii="Arial" w:hAnsi="Arial" w:cs="Arial"/>
                <w:color w:val="FFFFFF"/>
                <w:sz w:val="22"/>
                <w:szCs w:val="22"/>
              </w:rPr>
              <w:t>Procuring Entity</w:t>
            </w:r>
          </w:p>
        </w:tc>
        <w:tc>
          <w:tcPr>
            <w:tcW w:w="966" w:type="dxa"/>
            <w:tcBorders>
              <w:top w:val="single" w:sz="4" w:space="0" w:color="auto"/>
              <w:left w:val="nil"/>
              <w:bottom w:val="single" w:sz="4" w:space="0" w:color="auto"/>
              <w:right w:val="single" w:sz="4" w:space="0" w:color="auto"/>
            </w:tcBorders>
            <w:shd w:val="clear" w:color="auto" w:fill="C00000"/>
            <w:vAlign w:val="center"/>
            <w:hideMark/>
          </w:tcPr>
          <w:p w14:paraId="6BCE7130" w14:textId="77777777" w:rsidR="00221BE2" w:rsidRPr="00E619C8" w:rsidRDefault="00221BE2">
            <w:pPr>
              <w:jc w:val="center"/>
              <w:rPr>
                <w:rFonts w:ascii="Arial" w:hAnsi="Arial" w:cs="Arial"/>
                <w:color w:val="FFFFFF"/>
                <w:sz w:val="22"/>
                <w:szCs w:val="22"/>
              </w:rPr>
            </w:pPr>
            <w:r w:rsidRPr="00E619C8">
              <w:rPr>
                <w:rFonts w:ascii="Arial" w:hAnsi="Arial" w:cs="Arial"/>
                <w:color w:val="FFFFFF"/>
                <w:sz w:val="22"/>
                <w:szCs w:val="22"/>
              </w:rPr>
              <w:t>ITI Score</w:t>
            </w:r>
          </w:p>
        </w:tc>
        <w:tc>
          <w:tcPr>
            <w:tcW w:w="1695" w:type="dxa"/>
            <w:tcBorders>
              <w:top w:val="single" w:sz="4" w:space="0" w:color="auto"/>
              <w:left w:val="nil"/>
              <w:bottom w:val="single" w:sz="4" w:space="0" w:color="auto"/>
              <w:right w:val="single" w:sz="4" w:space="0" w:color="auto"/>
            </w:tcBorders>
            <w:shd w:val="clear" w:color="auto" w:fill="C00000"/>
            <w:vAlign w:val="center"/>
            <w:hideMark/>
          </w:tcPr>
          <w:p w14:paraId="69D9399B" w14:textId="77777777" w:rsidR="00221BE2" w:rsidRPr="00E619C8" w:rsidRDefault="00221BE2">
            <w:pPr>
              <w:jc w:val="center"/>
              <w:rPr>
                <w:rFonts w:ascii="Arial" w:hAnsi="Arial" w:cs="Arial"/>
                <w:color w:val="FFFFFF"/>
                <w:sz w:val="22"/>
                <w:szCs w:val="22"/>
              </w:rPr>
            </w:pPr>
            <w:r w:rsidRPr="00E619C8">
              <w:rPr>
                <w:rFonts w:ascii="Arial" w:hAnsi="Arial" w:cs="Arial"/>
                <w:color w:val="FFFFFF"/>
                <w:sz w:val="22"/>
                <w:szCs w:val="22"/>
              </w:rPr>
              <w:t>DIMENSION 2 Capacities and processes</w:t>
            </w:r>
          </w:p>
        </w:tc>
        <w:tc>
          <w:tcPr>
            <w:tcW w:w="1463" w:type="dxa"/>
            <w:tcBorders>
              <w:top w:val="single" w:sz="4" w:space="0" w:color="auto"/>
              <w:left w:val="nil"/>
              <w:bottom w:val="single" w:sz="4" w:space="0" w:color="auto"/>
              <w:right w:val="single" w:sz="4" w:space="0" w:color="auto"/>
            </w:tcBorders>
            <w:shd w:val="clear" w:color="auto" w:fill="C00000"/>
            <w:vAlign w:val="center"/>
            <w:hideMark/>
          </w:tcPr>
          <w:p w14:paraId="4D83E0F9" w14:textId="77777777" w:rsidR="00221BE2" w:rsidRPr="00E619C8" w:rsidRDefault="00221BE2">
            <w:pPr>
              <w:jc w:val="center"/>
              <w:rPr>
                <w:rFonts w:ascii="Arial" w:hAnsi="Arial" w:cs="Arial"/>
                <w:color w:val="FFFFFF"/>
                <w:sz w:val="22"/>
                <w:szCs w:val="22"/>
              </w:rPr>
            </w:pPr>
            <w:r w:rsidRPr="00E619C8">
              <w:rPr>
                <w:rFonts w:ascii="Arial" w:hAnsi="Arial" w:cs="Arial"/>
                <w:color w:val="FFFFFF"/>
                <w:sz w:val="22"/>
                <w:szCs w:val="22"/>
              </w:rPr>
              <w:t>DIMENSION 3 Citizen participation</w:t>
            </w:r>
          </w:p>
        </w:tc>
        <w:tc>
          <w:tcPr>
            <w:tcW w:w="1550" w:type="dxa"/>
            <w:tcBorders>
              <w:top w:val="single" w:sz="4" w:space="0" w:color="auto"/>
              <w:left w:val="nil"/>
              <w:bottom w:val="single" w:sz="4" w:space="0" w:color="auto"/>
              <w:right w:val="single" w:sz="4" w:space="0" w:color="auto"/>
            </w:tcBorders>
            <w:shd w:val="clear" w:color="auto" w:fill="C00000"/>
            <w:vAlign w:val="center"/>
            <w:hideMark/>
          </w:tcPr>
          <w:p w14:paraId="575A9F5A" w14:textId="77777777" w:rsidR="00221BE2" w:rsidRPr="00E619C8" w:rsidRDefault="00221BE2">
            <w:pPr>
              <w:jc w:val="center"/>
              <w:rPr>
                <w:rFonts w:ascii="Arial" w:hAnsi="Arial" w:cs="Arial"/>
                <w:color w:val="FFFFFF"/>
                <w:sz w:val="22"/>
                <w:szCs w:val="22"/>
              </w:rPr>
            </w:pPr>
            <w:r w:rsidRPr="00E619C8">
              <w:rPr>
                <w:rFonts w:ascii="Arial" w:hAnsi="Arial" w:cs="Arial"/>
                <w:color w:val="FFFFFF"/>
                <w:sz w:val="22"/>
                <w:szCs w:val="22"/>
              </w:rPr>
              <w:t>DIMENSION 4 Information disclosure</w:t>
            </w:r>
          </w:p>
        </w:tc>
      </w:tr>
      <w:tr w:rsidR="00221BE2" w:rsidRPr="00E619C8" w14:paraId="59570C0D" w14:textId="77777777" w:rsidTr="00FC1D48">
        <w:trPr>
          <w:trHeight w:val="40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7A0379D2" w14:textId="77777777" w:rsidR="00221BE2" w:rsidRPr="00E619C8" w:rsidRDefault="00221BE2">
            <w:pPr>
              <w:jc w:val="center"/>
              <w:rPr>
                <w:rFonts w:ascii="Calibri" w:hAnsi="Calibri" w:cs="Calibri"/>
                <w:sz w:val="22"/>
                <w:szCs w:val="22"/>
              </w:rPr>
            </w:pPr>
            <w:r w:rsidRPr="00E619C8">
              <w:rPr>
                <w:rFonts w:ascii="Calibri" w:hAnsi="Calibri" w:cs="Calibri"/>
                <w:sz w:val="22"/>
                <w:szCs w:val="22"/>
              </w:rPr>
              <w:t>1</w:t>
            </w:r>
          </w:p>
        </w:tc>
        <w:tc>
          <w:tcPr>
            <w:tcW w:w="2653" w:type="dxa"/>
            <w:tcBorders>
              <w:top w:val="nil"/>
              <w:left w:val="nil"/>
              <w:bottom w:val="single" w:sz="4" w:space="0" w:color="auto"/>
              <w:right w:val="single" w:sz="4" w:space="0" w:color="auto"/>
            </w:tcBorders>
            <w:shd w:val="clear" w:color="000000" w:fill="FFFFFF"/>
            <w:vAlign w:val="center"/>
            <w:hideMark/>
          </w:tcPr>
          <w:p w14:paraId="7265580F"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Dinas Pekerjaan Umum dan Penataan Ruang (Bidang Bina Marga)</w:t>
            </w:r>
          </w:p>
        </w:tc>
        <w:tc>
          <w:tcPr>
            <w:tcW w:w="966" w:type="dxa"/>
            <w:tcBorders>
              <w:top w:val="nil"/>
              <w:left w:val="nil"/>
              <w:bottom w:val="single" w:sz="4" w:space="0" w:color="auto"/>
              <w:right w:val="single" w:sz="4" w:space="0" w:color="auto"/>
            </w:tcBorders>
            <w:shd w:val="clear" w:color="000000" w:fill="FFFFFF"/>
            <w:vAlign w:val="center"/>
            <w:hideMark/>
          </w:tcPr>
          <w:p w14:paraId="34F03182" w14:textId="77777777" w:rsidR="00221BE2" w:rsidRPr="00E619C8" w:rsidRDefault="00221BE2">
            <w:pPr>
              <w:jc w:val="center"/>
              <w:rPr>
                <w:rFonts w:ascii="Arial" w:hAnsi="Arial" w:cs="Arial"/>
                <w:sz w:val="22"/>
                <w:szCs w:val="22"/>
              </w:rPr>
            </w:pPr>
            <w:r w:rsidRPr="00E619C8">
              <w:rPr>
                <w:rFonts w:ascii="Arial" w:hAnsi="Arial" w:cs="Arial"/>
                <w:sz w:val="22"/>
                <w:szCs w:val="22"/>
              </w:rPr>
              <w:t>57.02</w:t>
            </w:r>
          </w:p>
        </w:tc>
        <w:tc>
          <w:tcPr>
            <w:tcW w:w="1695" w:type="dxa"/>
            <w:tcBorders>
              <w:top w:val="nil"/>
              <w:left w:val="nil"/>
              <w:bottom w:val="single" w:sz="4" w:space="0" w:color="auto"/>
              <w:right w:val="single" w:sz="4" w:space="0" w:color="auto"/>
            </w:tcBorders>
            <w:shd w:val="clear" w:color="000000" w:fill="FFFFFF"/>
            <w:vAlign w:val="center"/>
            <w:hideMark/>
          </w:tcPr>
          <w:p w14:paraId="7DA81E04" w14:textId="77777777" w:rsidR="00221BE2" w:rsidRPr="00E619C8" w:rsidRDefault="00221BE2">
            <w:pPr>
              <w:jc w:val="center"/>
              <w:rPr>
                <w:rFonts w:ascii="Arial" w:hAnsi="Arial" w:cs="Arial"/>
                <w:sz w:val="22"/>
                <w:szCs w:val="22"/>
              </w:rPr>
            </w:pPr>
            <w:r w:rsidRPr="00E619C8">
              <w:rPr>
                <w:rFonts w:ascii="Arial" w:hAnsi="Arial" w:cs="Arial"/>
                <w:sz w:val="22"/>
                <w:szCs w:val="22"/>
              </w:rPr>
              <w:t>72.63</w:t>
            </w:r>
          </w:p>
        </w:tc>
        <w:tc>
          <w:tcPr>
            <w:tcW w:w="1463" w:type="dxa"/>
            <w:tcBorders>
              <w:top w:val="nil"/>
              <w:left w:val="nil"/>
              <w:bottom w:val="single" w:sz="4" w:space="0" w:color="auto"/>
              <w:right w:val="single" w:sz="4" w:space="0" w:color="auto"/>
            </w:tcBorders>
            <w:shd w:val="clear" w:color="000000" w:fill="FFFFFF"/>
            <w:vAlign w:val="center"/>
            <w:hideMark/>
          </w:tcPr>
          <w:p w14:paraId="35947ED5" w14:textId="77777777" w:rsidR="00221BE2" w:rsidRPr="00E619C8" w:rsidRDefault="00221BE2">
            <w:pPr>
              <w:jc w:val="center"/>
              <w:rPr>
                <w:rFonts w:ascii="Arial" w:hAnsi="Arial" w:cs="Arial"/>
                <w:sz w:val="22"/>
                <w:szCs w:val="22"/>
              </w:rPr>
            </w:pPr>
            <w:r w:rsidRPr="00E619C8">
              <w:rPr>
                <w:rFonts w:ascii="Arial" w:hAnsi="Arial" w:cs="Arial"/>
                <w:sz w:val="22"/>
                <w:szCs w:val="22"/>
              </w:rPr>
              <w:t>75.9</w:t>
            </w:r>
          </w:p>
        </w:tc>
        <w:tc>
          <w:tcPr>
            <w:tcW w:w="1550" w:type="dxa"/>
            <w:tcBorders>
              <w:top w:val="nil"/>
              <w:left w:val="nil"/>
              <w:bottom w:val="single" w:sz="4" w:space="0" w:color="auto"/>
              <w:right w:val="single" w:sz="4" w:space="0" w:color="auto"/>
            </w:tcBorders>
            <w:shd w:val="clear" w:color="000000" w:fill="FFFFFF"/>
            <w:vAlign w:val="center"/>
            <w:hideMark/>
          </w:tcPr>
          <w:p w14:paraId="1CD28321" w14:textId="77777777" w:rsidR="00221BE2" w:rsidRPr="00E619C8" w:rsidRDefault="00221BE2">
            <w:pPr>
              <w:jc w:val="center"/>
              <w:rPr>
                <w:rFonts w:ascii="Arial" w:hAnsi="Arial" w:cs="Arial"/>
                <w:sz w:val="22"/>
                <w:szCs w:val="22"/>
              </w:rPr>
            </w:pPr>
            <w:r w:rsidRPr="00E619C8">
              <w:rPr>
                <w:rFonts w:ascii="Arial" w:hAnsi="Arial" w:cs="Arial"/>
                <w:sz w:val="22"/>
                <w:szCs w:val="22"/>
              </w:rPr>
              <w:t>31.57</w:t>
            </w:r>
          </w:p>
        </w:tc>
      </w:tr>
      <w:tr w:rsidR="00221BE2" w:rsidRPr="00E619C8" w14:paraId="59EE036D" w14:textId="77777777" w:rsidTr="00FC1D48">
        <w:trPr>
          <w:trHeight w:val="384"/>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8FF87A6" w14:textId="77777777" w:rsidR="00221BE2" w:rsidRPr="00E619C8" w:rsidRDefault="00221BE2">
            <w:pPr>
              <w:jc w:val="center"/>
              <w:rPr>
                <w:rFonts w:ascii="Calibri" w:hAnsi="Calibri" w:cs="Calibri"/>
                <w:sz w:val="22"/>
                <w:szCs w:val="22"/>
              </w:rPr>
            </w:pPr>
            <w:r w:rsidRPr="00E619C8">
              <w:rPr>
                <w:rFonts w:ascii="Calibri" w:hAnsi="Calibri" w:cs="Calibri"/>
                <w:sz w:val="22"/>
                <w:szCs w:val="22"/>
              </w:rPr>
              <w:t>2</w:t>
            </w:r>
          </w:p>
        </w:tc>
        <w:tc>
          <w:tcPr>
            <w:tcW w:w="2653" w:type="dxa"/>
            <w:tcBorders>
              <w:top w:val="nil"/>
              <w:left w:val="nil"/>
              <w:bottom w:val="single" w:sz="4" w:space="0" w:color="auto"/>
              <w:right w:val="single" w:sz="4" w:space="0" w:color="auto"/>
            </w:tcBorders>
            <w:shd w:val="clear" w:color="000000" w:fill="FFFFFF"/>
            <w:vAlign w:val="center"/>
            <w:hideMark/>
          </w:tcPr>
          <w:p w14:paraId="5E03DDCB"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Rumah Sakit Mandalika</w:t>
            </w:r>
          </w:p>
        </w:tc>
        <w:tc>
          <w:tcPr>
            <w:tcW w:w="966" w:type="dxa"/>
            <w:tcBorders>
              <w:top w:val="nil"/>
              <w:left w:val="nil"/>
              <w:bottom w:val="single" w:sz="4" w:space="0" w:color="auto"/>
              <w:right w:val="single" w:sz="4" w:space="0" w:color="auto"/>
            </w:tcBorders>
            <w:shd w:val="clear" w:color="000000" w:fill="FFFFFF"/>
            <w:vAlign w:val="center"/>
            <w:hideMark/>
          </w:tcPr>
          <w:p w14:paraId="5560A390" w14:textId="77777777" w:rsidR="00221BE2" w:rsidRPr="00E619C8" w:rsidRDefault="00221BE2">
            <w:pPr>
              <w:jc w:val="center"/>
              <w:rPr>
                <w:rFonts w:ascii="Arial" w:hAnsi="Arial" w:cs="Arial"/>
                <w:sz w:val="22"/>
                <w:szCs w:val="22"/>
              </w:rPr>
            </w:pPr>
            <w:r w:rsidRPr="00E619C8">
              <w:rPr>
                <w:rFonts w:ascii="Arial" w:hAnsi="Arial" w:cs="Arial"/>
                <w:sz w:val="22"/>
                <w:szCs w:val="22"/>
              </w:rPr>
              <w:t>55.4</w:t>
            </w:r>
          </w:p>
        </w:tc>
        <w:tc>
          <w:tcPr>
            <w:tcW w:w="1695" w:type="dxa"/>
            <w:tcBorders>
              <w:top w:val="nil"/>
              <w:left w:val="nil"/>
              <w:bottom w:val="single" w:sz="4" w:space="0" w:color="auto"/>
              <w:right w:val="single" w:sz="4" w:space="0" w:color="auto"/>
            </w:tcBorders>
            <w:shd w:val="clear" w:color="000000" w:fill="FFFFFF"/>
            <w:vAlign w:val="center"/>
            <w:hideMark/>
          </w:tcPr>
          <w:p w14:paraId="776FBDF3" w14:textId="77777777" w:rsidR="00221BE2" w:rsidRPr="00E619C8" w:rsidRDefault="00221BE2">
            <w:pPr>
              <w:jc w:val="center"/>
              <w:rPr>
                <w:rFonts w:ascii="Arial" w:hAnsi="Arial" w:cs="Arial"/>
                <w:sz w:val="22"/>
                <w:szCs w:val="22"/>
              </w:rPr>
            </w:pPr>
            <w:r w:rsidRPr="00E619C8">
              <w:rPr>
                <w:rFonts w:ascii="Arial" w:hAnsi="Arial" w:cs="Arial"/>
                <w:sz w:val="22"/>
                <w:szCs w:val="22"/>
              </w:rPr>
              <w:t>77.17</w:t>
            </w:r>
          </w:p>
        </w:tc>
        <w:tc>
          <w:tcPr>
            <w:tcW w:w="1463" w:type="dxa"/>
            <w:tcBorders>
              <w:top w:val="nil"/>
              <w:left w:val="nil"/>
              <w:bottom w:val="single" w:sz="4" w:space="0" w:color="auto"/>
              <w:right w:val="single" w:sz="4" w:space="0" w:color="auto"/>
            </w:tcBorders>
            <w:shd w:val="clear" w:color="000000" w:fill="FFFFFF"/>
            <w:vAlign w:val="center"/>
            <w:hideMark/>
          </w:tcPr>
          <w:p w14:paraId="14D71009" w14:textId="77777777" w:rsidR="00221BE2" w:rsidRPr="00E619C8" w:rsidRDefault="00221BE2">
            <w:pPr>
              <w:jc w:val="center"/>
              <w:rPr>
                <w:rFonts w:ascii="Arial" w:hAnsi="Arial" w:cs="Arial"/>
                <w:sz w:val="22"/>
                <w:szCs w:val="22"/>
              </w:rPr>
            </w:pPr>
            <w:r w:rsidRPr="00E619C8">
              <w:rPr>
                <w:rFonts w:ascii="Arial" w:hAnsi="Arial" w:cs="Arial"/>
                <w:sz w:val="22"/>
                <w:szCs w:val="22"/>
              </w:rPr>
              <w:t>67.1</w:t>
            </w:r>
          </w:p>
        </w:tc>
        <w:tc>
          <w:tcPr>
            <w:tcW w:w="1550" w:type="dxa"/>
            <w:tcBorders>
              <w:top w:val="nil"/>
              <w:left w:val="nil"/>
              <w:bottom w:val="single" w:sz="4" w:space="0" w:color="auto"/>
              <w:right w:val="single" w:sz="4" w:space="0" w:color="auto"/>
            </w:tcBorders>
            <w:shd w:val="clear" w:color="000000" w:fill="FFFFFF"/>
            <w:vAlign w:val="center"/>
            <w:hideMark/>
          </w:tcPr>
          <w:p w14:paraId="198EED62" w14:textId="77777777" w:rsidR="00221BE2" w:rsidRPr="00E619C8" w:rsidRDefault="00221BE2">
            <w:pPr>
              <w:jc w:val="center"/>
              <w:rPr>
                <w:rFonts w:ascii="Arial" w:hAnsi="Arial" w:cs="Arial"/>
                <w:sz w:val="22"/>
                <w:szCs w:val="22"/>
              </w:rPr>
            </w:pPr>
            <w:r w:rsidRPr="00E619C8">
              <w:rPr>
                <w:rFonts w:ascii="Arial" w:hAnsi="Arial" w:cs="Arial"/>
                <w:sz w:val="22"/>
                <w:szCs w:val="22"/>
              </w:rPr>
              <w:t>29.05</w:t>
            </w:r>
          </w:p>
        </w:tc>
      </w:tr>
      <w:tr w:rsidR="00221BE2" w:rsidRPr="00E619C8" w14:paraId="72CC03BF" w14:textId="77777777" w:rsidTr="00FC1D48">
        <w:trPr>
          <w:trHeight w:val="37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6E89B590" w14:textId="77777777" w:rsidR="00221BE2" w:rsidRPr="00E619C8" w:rsidRDefault="00221BE2">
            <w:pPr>
              <w:jc w:val="center"/>
              <w:rPr>
                <w:rFonts w:ascii="Calibri" w:hAnsi="Calibri" w:cs="Calibri"/>
                <w:sz w:val="22"/>
                <w:szCs w:val="22"/>
              </w:rPr>
            </w:pPr>
            <w:r w:rsidRPr="00E619C8">
              <w:rPr>
                <w:rFonts w:ascii="Calibri" w:hAnsi="Calibri" w:cs="Calibri"/>
                <w:sz w:val="22"/>
                <w:szCs w:val="22"/>
              </w:rPr>
              <w:t>3</w:t>
            </w:r>
          </w:p>
        </w:tc>
        <w:tc>
          <w:tcPr>
            <w:tcW w:w="2653" w:type="dxa"/>
            <w:tcBorders>
              <w:top w:val="nil"/>
              <w:left w:val="nil"/>
              <w:bottom w:val="single" w:sz="4" w:space="0" w:color="auto"/>
              <w:right w:val="single" w:sz="4" w:space="0" w:color="auto"/>
            </w:tcBorders>
            <w:shd w:val="clear" w:color="000000" w:fill="FFFFFF"/>
            <w:vAlign w:val="center"/>
            <w:hideMark/>
          </w:tcPr>
          <w:p w14:paraId="34075059"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Rumah Sakit Jiwa Mutiara Sukma Provinsi</w:t>
            </w:r>
          </w:p>
        </w:tc>
        <w:tc>
          <w:tcPr>
            <w:tcW w:w="966" w:type="dxa"/>
            <w:tcBorders>
              <w:top w:val="nil"/>
              <w:left w:val="nil"/>
              <w:bottom w:val="single" w:sz="4" w:space="0" w:color="auto"/>
              <w:right w:val="single" w:sz="4" w:space="0" w:color="auto"/>
            </w:tcBorders>
            <w:shd w:val="clear" w:color="000000" w:fill="FFFFFF"/>
            <w:vAlign w:val="center"/>
            <w:hideMark/>
          </w:tcPr>
          <w:p w14:paraId="17A223B3" w14:textId="77777777" w:rsidR="00221BE2" w:rsidRPr="00E619C8" w:rsidRDefault="00221BE2">
            <w:pPr>
              <w:jc w:val="center"/>
              <w:rPr>
                <w:rFonts w:ascii="Arial" w:hAnsi="Arial" w:cs="Arial"/>
                <w:sz w:val="22"/>
                <w:szCs w:val="22"/>
              </w:rPr>
            </w:pPr>
            <w:r w:rsidRPr="00E619C8">
              <w:rPr>
                <w:rFonts w:ascii="Arial" w:hAnsi="Arial" w:cs="Arial"/>
                <w:sz w:val="22"/>
                <w:szCs w:val="22"/>
              </w:rPr>
              <w:t>51.79</w:t>
            </w:r>
          </w:p>
        </w:tc>
        <w:tc>
          <w:tcPr>
            <w:tcW w:w="1695" w:type="dxa"/>
            <w:tcBorders>
              <w:top w:val="nil"/>
              <w:left w:val="nil"/>
              <w:bottom w:val="single" w:sz="4" w:space="0" w:color="auto"/>
              <w:right w:val="single" w:sz="4" w:space="0" w:color="auto"/>
            </w:tcBorders>
            <w:shd w:val="clear" w:color="000000" w:fill="FFFFFF"/>
            <w:vAlign w:val="center"/>
            <w:hideMark/>
          </w:tcPr>
          <w:p w14:paraId="42405ACD" w14:textId="77777777" w:rsidR="00221BE2" w:rsidRPr="00E619C8" w:rsidRDefault="00221BE2">
            <w:pPr>
              <w:jc w:val="center"/>
              <w:rPr>
                <w:rFonts w:ascii="Arial" w:hAnsi="Arial" w:cs="Arial"/>
                <w:sz w:val="22"/>
                <w:szCs w:val="22"/>
              </w:rPr>
            </w:pPr>
            <w:r w:rsidRPr="00E619C8">
              <w:rPr>
                <w:rFonts w:ascii="Arial" w:hAnsi="Arial" w:cs="Arial"/>
                <w:sz w:val="22"/>
                <w:szCs w:val="22"/>
              </w:rPr>
              <w:t>71.33</w:t>
            </w:r>
          </w:p>
        </w:tc>
        <w:tc>
          <w:tcPr>
            <w:tcW w:w="1463" w:type="dxa"/>
            <w:tcBorders>
              <w:top w:val="nil"/>
              <w:left w:val="nil"/>
              <w:bottom w:val="single" w:sz="4" w:space="0" w:color="auto"/>
              <w:right w:val="single" w:sz="4" w:space="0" w:color="auto"/>
            </w:tcBorders>
            <w:shd w:val="clear" w:color="000000" w:fill="FFFFFF"/>
            <w:vAlign w:val="center"/>
            <w:hideMark/>
          </w:tcPr>
          <w:p w14:paraId="39E83CF8" w14:textId="77777777" w:rsidR="00221BE2" w:rsidRPr="00E619C8" w:rsidRDefault="00221BE2">
            <w:pPr>
              <w:jc w:val="center"/>
              <w:rPr>
                <w:rFonts w:ascii="Arial" w:hAnsi="Arial" w:cs="Arial"/>
                <w:sz w:val="22"/>
                <w:szCs w:val="22"/>
              </w:rPr>
            </w:pPr>
            <w:r w:rsidRPr="00E619C8">
              <w:rPr>
                <w:rFonts w:ascii="Arial" w:hAnsi="Arial" w:cs="Arial"/>
                <w:sz w:val="22"/>
                <w:szCs w:val="22"/>
              </w:rPr>
              <w:t>60.8</w:t>
            </w:r>
          </w:p>
        </w:tc>
        <w:tc>
          <w:tcPr>
            <w:tcW w:w="1550" w:type="dxa"/>
            <w:tcBorders>
              <w:top w:val="nil"/>
              <w:left w:val="nil"/>
              <w:bottom w:val="single" w:sz="4" w:space="0" w:color="auto"/>
              <w:right w:val="single" w:sz="4" w:space="0" w:color="auto"/>
            </w:tcBorders>
            <w:shd w:val="clear" w:color="000000" w:fill="FFFFFF"/>
            <w:vAlign w:val="center"/>
            <w:hideMark/>
          </w:tcPr>
          <w:p w14:paraId="1D77CF69" w14:textId="77777777" w:rsidR="00221BE2" w:rsidRPr="00E619C8" w:rsidRDefault="00221BE2">
            <w:pPr>
              <w:jc w:val="center"/>
              <w:rPr>
                <w:rFonts w:ascii="Arial" w:hAnsi="Arial" w:cs="Arial"/>
                <w:sz w:val="22"/>
                <w:szCs w:val="22"/>
              </w:rPr>
            </w:pPr>
            <w:r w:rsidRPr="00E619C8">
              <w:rPr>
                <w:rFonts w:ascii="Arial" w:hAnsi="Arial" w:cs="Arial"/>
                <w:sz w:val="22"/>
                <w:szCs w:val="22"/>
              </w:rPr>
              <w:t>29.05</w:t>
            </w:r>
          </w:p>
        </w:tc>
      </w:tr>
      <w:tr w:rsidR="00221BE2" w:rsidRPr="00E619C8" w14:paraId="46EFB34E" w14:textId="77777777" w:rsidTr="00FC1D48">
        <w:trPr>
          <w:trHeight w:val="37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7CE5D4B" w14:textId="77777777" w:rsidR="00221BE2" w:rsidRPr="00E619C8" w:rsidRDefault="00221BE2">
            <w:pPr>
              <w:jc w:val="center"/>
              <w:rPr>
                <w:rFonts w:ascii="Calibri" w:hAnsi="Calibri" w:cs="Calibri"/>
                <w:sz w:val="22"/>
                <w:szCs w:val="22"/>
              </w:rPr>
            </w:pPr>
            <w:r w:rsidRPr="00E619C8">
              <w:rPr>
                <w:rFonts w:ascii="Calibri" w:hAnsi="Calibri" w:cs="Calibri"/>
                <w:sz w:val="22"/>
                <w:szCs w:val="22"/>
              </w:rPr>
              <w:t>4</w:t>
            </w:r>
          </w:p>
        </w:tc>
        <w:tc>
          <w:tcPr>
            <w:tcW w:w="2653" w:type="dxa"/>
            <w:tcBorders>
              <w:top w:val="nil"/>
              <w:left w:val="nil"/>
              <w:bottom w:val="single" w:sz="4" w:space="0" w:color="auto"/>
              <w:right w:val="single" w:sz="4" w:space="0" w:color="auto"/>
            </w:tcBorders>
            <w:shd w:val="clear" w:color="000000" w:fill="FFFFFF"/>
            <w:vAlign w:val="center"/>
            <w:hideMark/>
          </w:tcPr>
          <w:p w14:paraId="02DDD1DA"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Dinas Kelautan dan Perikanan</w:t>
            </w:r>
          </w:p>
        </w:tc>
        <w:tc>
          <w:tcPr>
            <w:tcW w:w="966" w:type="dxa"/>
            <w:tcBorders>
              <w:top w:val="nil"/>
              <w:left w:val="nil"/>
              <w:bottom w:val="single" w:sz="4" w:space="0" w:color="auto"/>
              <w:right w:val="single" w:sz="4" w:space="0" w:color="auto"/>
            </w:tcBorders>
            <w:shd w:val="clear" w:color="000000" w:fill="FFFFFF"/>
            <w:vAlign w:val="center"/>
            <w:hideMark/>
          </w:tcPr>
          <w:p w14:paraId="12C8563D" w14:textId="77777777" w:rsidR="00221BE2" w:rsidRPr="00E619C8" w:rsidRDefault="00221BE2">
            <w:pPr>
              <w:jc w:val="center"/>
              <w:rPr>
                <w:rFonts w:ascii="Arial" w:hAnsi="Arial" w:cs="Arial"/>
                <w:sz w:val="22"/>
                <w:szCs w:val="22"/>
              </w:rPr>
            </w:pPr>
            <w:r w:rsidRPr="00E619C8">
              <w:rPr>
                <w:rFonts w:ascii="Arial" w:hAnsi="Arial" w:cs="Arial"/>
                <w:sz w:val="22"/>
                <w:szCs w:val="22"/>
              </w:rPr>
              <w:t>51.42</w:t>
            </w:r>
          </w:p>
        </w:tc>
        <w:tc>
          <w:tcPr>
            <w:tcW w:w="1695" w:type="dxa"/>
            <w:tcBorders>
              <w:top w:val="nil"/>
              <w:left w:val="nil"/>
              <w:bottom w:val="single" w:sz="4" w:space="0" w:color="auto"/>
              <w:right w:val="single" w:sz="4" w:space="0" w:color="auto"/>
            </w:tcBorders>
            <w:shd w:val="clear" w:color="000000" w:fill="FFFFFF"/>
            <w:vAlign w:val="center"/>
            <w:hideMark/>
          </w:tcPr>
          <w:p w14:paraId="2AA124ED" w14:textId="77777777" w:rsidR="00221BE2" w:rsidRPr="00E619C8" w:rsidRDefault="00221BE2">
            <w:pPr>
              <w:jc w:val="center"/>
              <w:rPr>
                <w:rFonts w:ascii="Arial" w:hAnsi="Arial" w:cs="Arial"/>
                <w:sz w:val="22"/>
                <w:szCs w:val="22"/>
              </w:rPr>
            </w:pPr>
            <w:r w:rsidRPr="00E619C8">
              <w:rPr>
                <w:rFonts w:ascii="Arial" w:hAnsi="Arial" w:cs="Arial"/>
                <w:sz w:val="22"/>
                <w:szCs w:val="22"/>
              </w:rPr>
              <w:t>71.11</w:t>
            </w:r>
          </w:p>
        </w:tc>
        <w:tc>
          <w:tcPr>
            <w:tcW w:w="1463" w:type="dxa"/>
            <w:tcBorders>
              <w:top w:val="nil"/>
              <w:left w:val="nil"/>
              <w:bottom w:val="single" w:sz="4" w:space="0" w:color="auto"/>
              <w:right w:val="single" w:sz="4" w:space="0" w:color="auto"/>
            </w:tcBorders>
            <w:shd w:val="clear" w:color="000000" w:fill="FFFFFF"/>
            <w:vAlign w:val="center"/>
            <w:hideMark/>
          </w:tcPr>
          <w:p w14:paraId="03125C83" w14:textId="77777777" w:rsidR="00221BE2" w:rsidRPr="00E619C8" w:rsidRDefault="00221BE2">
            <w:pPr>
              <w:jc w:val="center"/>
              <w:rPr>
                <w:rFonts w:ascii="Arial" w:hAnsi="Arial" w:cs="Arial"/>
                <w:sz w:val="22"/>
                <w:szCs w:val="22"/>
              </w:rPr>
            </w:pPr>
            <w:r w:rsidRPr="00E619C8">
              <w:rPr>
                <w:rFonts w:ascii="Arial" w:hAnsi="Arial" w:cs="Arial"/>
                <w:sz w:val="22"/>
                <w:szCs w:val="22"/>
              </w:rPr>
              <w:t>58.45</w:t>
            </w:r>
          </w:p>
        </w:tc>
        <w:tc>
          <w:tcPr>
            <w:tcW w:w="1550" w:type="dxa"/>
            <w:tcBorders>
              <w:top w:val="nil"/>
              <w:left w:val="nil"/>
              <w:bottom w:val="single" w:sz="4" w:space="0" w:color="auto"/>
              <w:right w:val="single" w:sz="4" w:space="0" w:color="auto"/>
            </w:tcBorders>
            <w:shd w:val="clear" w:color="000000" w:fill="FFFFFF"/>
            <w:vAlign w:val="center"/>
            <w:hideMark/>
          </w:tcPr>
          <w:p w14:paraId="7273BAD8" w14:textId="77777777" w:rsidR="00221BE2" w:rsidRPr="00E619C8" w:rsidRDefault="00221BE2">
            <w:pPr>
              <w:jc w:val="center"/>
              <w:rPr>
                <w:rFonts w:ascii="Arial" w:hAnsi="Arial" w:cs="Arial"/>
                <w:sz w:val="22"/>
                <w:szCs w:val="22"/>
              </w:rPr>
            </w:pPr>
            <w:r w:rsidRPr="00E619C8">
              <w:rPr>
                <w:rFonts w:ascii="Arial" w:hAnsi="Arial" w:cs="Arial"/>
                <w:sz w:val="22"/>
                <w:szCs w:val="22"/>
              </w:rPr>
              <w:t>29.8</w:t>
            </w:r>
          </w:p>
        </w:tc>
      </w:tr>
      <w:tr w:rsidR="00221BE2" w:rsidRPr="00E619C8" w14:paraId="3D9B4430" w14:textId="77777777" w:rsidTr="00FC1D48">
        <w:trPr>
          <w:trHeight w:val="384"/>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481B724D" w14:textId="77777777" w:rsidR="00221BE2" w:rsidRPr="00E619C8" w:rsidRDefault="00221BE2">
            <w:pPr>
              <w:jc w:val="center"/>
              <w:rPr>
                <w:rFonts w:ascii="Calibri" w:hAnsi="Calibri" w:cs="Calibri"/>
                <w:sz w:val="22"/>
                <w:szCs w:val="22"/>
              </w:rPr>
            </w:pPr>
            <w:r w:rsidRPr="00E619C8">
              <w:rPr>
                <w:rFonts w:ascii="Calibri" w:hAnsi="Calibri" w:cs="Calibri"/>
                <w:sz w:val="22"/>
                <w:szCs w:val="22"/>
              </w:rPr>
              <w:t>5</w:t>
            </w:r>
          </w:p>
        </w:tc>
        <w:tc>
          <w:tcPr>
            <w:tcW w:w="2653" w:type="dxa"/>
            <w:tcBorders>
              <w:top w:val="nil"/>
              <w:left w:val="nil"/>
              <w:bottom w:val="single" w:sz="4" w:space="0" w:color="auto"/>
              <w:right w:val="single" w:sz="4" w:space="0" w:color="auto"/>
            </w:tcBorders>
            <w:shd w:val="clear" w:color="000000" w:fill="FFFFFF"/>
            <w:vAlign w:val="center"/>
            <w:hideMark/>
          </w:tcPr>
          <w:p w14:paraId="5FFCC066"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Dinas Pekerjaan Umum dan Penataan Ruang (Bidang Sumber Daya Air)</w:t>
            </w:r>
          </w:p>
        </w:tc>
        <w:tc>
          <w:tcPr>
            <w:tcW w:w="966" w:type="dxa"/>
            <w:tcBorders>
              <w:top w:val="nil"/>
              <w:left w:val="nil"/>
              <w:bottom w:val="single" w:sz="4" w:space="0" w:color="auto"/>
              <w:right w:val="single" w:sz="4" w:space="0" w:color="auto"/>
            </w:tcBorders>
            <w:shd w:val="clear" w:color="000000" w:fill="FFFFFF"/>
            <w:vAlign w:val="center"/>
            <w:hideMark/>
          </w:tcPr>
          <w:p w14:paraId="7E6DED61" w14:textId="77777777" w:rsidR="00221BE2" w:rsidRPr="00E619C8" w:rsidRDefault="00221BE2">
            <w:pPr>
              <w:jc w:val="center"/>
              <w:rPr>
                <w:rFonts w:ascii="Arial" w:hAnsi="Arial" w:cs="Arial"/>
                <w:sz w:val="22"/>
                <w:szCs w:val="22"/>
              </w:rPr>
            </w:pPr>
            <w:r w:rsidRPr="00E619C8">
              <w:rPr>
                <w:rFonts w:ascii="Arial" w:hAnsi="Arial" w:cs="Arial"/>
                <w:sz w:val="22"/>
                <w:szCs w:val="22"/>
              </w:rPr>
              <w:t>47.85</w:t>
            </w:r>
          </w:p>
        </w:tc>
        <w:tc>
          <w:tcPr>
            <w:tcW w:w="1695" w:type="dxa"/>
            <w:tcBorders>
              <w:top w:val="nil"/>
              <w:left w:val="nil"/>
              <w:bottom w:val="single" w:sz="4" w:space="0" w:color="auto"/>
              <w:right w:val="single" w:sz="4" w:space="0" w:color="auto"/>
            </w:tcBorders>
            <w:shd w:val="clear" w:color="000000" w:fill="FFFFFF"/>
            <w:vAlign w:val="center"/>
            <w:hideMark/>
          </w:tcPr>
          <w:p w14:paraId="5A38AAC2" w14:textId="77777777" w:rsidR="00221BE2" w:rsidRPr="00E619C8" w:rsidRDefault="00221BE2">
            <w:pPr>
              <w:jc w:val="center"/>
              <w:rPr>
                <w:rFonts w:ascii="Arial" w:hAnsi="Arial" w:cs="Arial"/>
                <w:sz w:val="22"/>
                <w:szCs w:val="22"/>
              </w:rPr>
            </w:pPr>
            <w:r w:rsidRPr="00E619C8">
              <w:rPr>
                <w:rFonts w:ascii="Arial" w:hAnsi="Arial" w:cs="Arial"/>
                <w:sz w:val="22"/>
                <w:szCs w:val="22"/>
              </w:rPr>
              <w:t>62.79</w:t>
            </w:r>
          </w:p>
        </w:tc>
        <w:tc>
          <w:tcPr>
            <w:tcW w:w="1463" w:type="dxa"/>
            <w:tcBorders>
              <w:top w:val="nil"/>
              <w:left w:val="nil"/>
              <w:bottom w:val="single" w:sz="4" w:space="0" w:color="auto"/>
              <w:right w:val="single" w:sz="4" w:space="0" w:color="auto"/>
            </w:tcBorders>
            <w:shd w:val="clear" w:color="000000" w:fill="FFFFFF"/>
            <w:vAlign w:val="center"/>
            <w:hideMark/>
          </w:tcPr>
          <w:p w14:paraId="4AFBAC84" w14:textId="77777777" w:rsidR="00221BE2" w:rsidRPr="00E619C8" w:rsidRDefault="00221BE2">
            <w:pPr>
              <w:jc w:val="center"/>
              <w:rPr>
                <w:rFonts w:ascii="Arial" w:hAnsi="Arial" w:cs="Arial"/>
                <w:sz w:val="22"/>
                <w:szCs w:val="22"/>
              </w:rPr>
            </w:pPr>
            <w:r w:rsidRPr="00E619C8">
              <w:rPr>
                <w:rFonts w:ascii="Arial" w:hAnsi="Arial" w:cs="Arial"/>
                <w:sz w:val="22"/>
                <w:szCs w:val="22"/>
              </w:rPr>
              <w:t>57.25</w:t>
            </w:r>
          </w:p>
        </w:tc>
        <w:tc>
          <w:tcPr>
            <w:tcW w:w="1550" w:type="dxa"/>
            <w:tcBorders>
              <w:top w:val="nil"/>
              <w:left w:val="nil"/>
              <w:bottom w:val="single" w:sz="4" w:space="0" w:color="auto"/>
              <w:right w:val="single" w:sz="4" w:space="0" w:color="auto"/>
            </w:tcBorders>
            <w:shd w:val="clear" w:color="000000" w:fill="FFFFFF"/>
            <w:vAlign w:val="center"/>
            <w:hideMark/>
          </w:tcPr>
          <w:p w14:paraId="34162E34" w14:textId="77777777" w:rsidR="00221BE2" w:rsidRPr="00E619C8" w:rsidRDefault="00221BE2">
            <w:pPr>
              <w:jc w:val="center"/>
              <w:rPr>
                <w:rFonts w:ascii="Arial" w:hAnsi="Arial" w:cs="Arial"/>
                <w:sz w:val="22"/>
                <w:szCs w:val="22"/>
              </w:rPr>
            </w:pPr>
            <w:r w:rsidRPr="00E619C8">
              <w:rPr>
                <w:rFonts w:ascii="Arial" w:hAnsi="Arial" w:cs="Arial"/>
                <w:sz w:val="22"/>
                <w:szCs w:val="22"/>
              </w:rPr>
              <w:t>28.9</w:t>
            </w:r>
          </w:p>
        </w:tc>
      </w:tr>
      <w:tr w:rsidR="00FC1D48" w:rsidRPr="00E619C8" w14:paraId="453C37D8" w14:textId="77777777" w:rsidTr="00FC1D48">
        <w:trPr>
          <w:trHeight w:val="59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16E26652" w14:textId="77777777" w:rsidR="00221BE2" w:rsidRPr="00E619C8" w:rsidRDefault="00221BE2">
            <w:pPr>
              <w:jc w:val="center"/>
              <w:rPr>
                <w:rFonts w:ascii="Calibri" w:hAnsi="Calibri" w:cs="Calibri"/>
                <w:sz w:val="22"/>
                <w:szCs w:val="22"/>
              </w:rPr>
            </w:pPr>
            <w:r w:rsidRPr="00E619C8">
              <w:rPr>
                <w:rFonts w:ascii="Calibri" w:hAnsi="Calibri" w:cs="Calibri"/>
                <w:sz w:val="22"/>
                <w:szCs w:val="22"/>
              </w:rPr>
              <w:t>6</w:t>
            </w:r>
          </w:p>
        </w:tc>
        <w:tc>
          <w:tcPr>
            <w:tcW w:w="2653" w:type="dxa"/>
            <w:tcBorders>
              <w:top w:val="nil"/>
              <w:left w:val="nil"/>
              <w:bottom w:val="single" w:sz="4" w:space="0" w:color="auto"/>
              <w:right w:val="single" w:sz="4" w:space="0" w:color="auto"/>
            </w:tcBorders>
            <w:shd w:val="clear" w:color="000000" w:fill="FFFFFF"/>
            <w:vAlign w:val="center"/>
            <w:hideMark/>
          </w:tcPr>
          <w:p w14:paraId="067C04FA"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Dinas Pertanian dan Perkebunan</w:t>
            </w:r>
          </w:p>
        </w:tc>
        <w:tc>
          <w:tcPr>
            <w:tcW w:w="966" w:type="dxa"/>
            <w:tcBorders>
              <w:top w:val="nil"/>
              <w:left w:val="nil"/>
              <w:bottom w:val="single" w:sz="4" w:space="0" w:color="auto"/>
              <w:right w:val="single" w:sz="4" w:space="0" w:color="auto"/>
            </w:tcBorders>
            <w:shd w:val="clear" w:color="000000" w:fill="FFFFFF"/>
            <w:vAlign w:val="center"/>
            <w:hideMark/>
          </w:tcPr>
          <w:p w14:paraId="5ED78C3D" w14:textId="77777777" w:rsidR="00221BE2" w:rsidRPr="00E619C8" w:rsidRDefault="00221BE2">
            <w:pPr>
              <w:jc w:val="center"/>
              <w:rPr>
                <w:rFonts w:ascii="Arial" w:hAnsi="Arial" w:cs="Arial"/>
                <w:sz w:val="22"/>
                <w:szCs w:val="22"/>
              </w:rPr>
            </w:pPr>
            <w:r w:rsidRPr="00E619C8">
              <w:rPr>
                <w:rFonts w:ascii="Arial" w:hAnsi="Arial" w:cs="Arial"/>
                <w:sz w:val="22"/>
                <w:szCs w:val="22"/>
              </w:rPr>
              <w:t>47.23</w:t>
            </w:r>
          </w:p>
        </w:tc>
        <w:tc>
          <w:tcPr>
            <w:tcW w:w="1695" w:type="dxa"/>
            <w:tcBorders>
              <w:top w:val="nil"/>
              <w:left w:val="nil"/>
              <w:bottom w:val="single" w:sz="4" w:space="0" w:color="auto"/>
              <w:right w:val="single" w:sz="4" w:space="0" w:color="auto"/>
            </w:tcBorders>
            <w:shd w:val="clear" w:color="000000" w:fill="FFFFFF"/>
            <w:vAlign w:val="center"/>
            <w:hideMark/>
          </w:tcPr>
          <w:p w14:paraId="0E2BDA74" w14:textId="77777777" w:rsidR="00221BE2" w:rsidRPr="00E619C8" w:rsidRDefault="00221BE2">
            <w:pPr>
              <w:jc w:val="center"/>
              <w:rPr>
                <w:rFonts w:ascii="Arial" w:hAnsi="Arial" w:cs="Arial"/>
                <w:sz w:val="22"/>
                <w:szCs w:val="22"/>
              </w:rPr>
            </w:pPr>
            <w:r w:rsidRPr="00E619C8">
              <w:rPr>
                <w:rFonts w:ascii="Arial" w:hAnsi="Arial" w:cs="Arial"/>
                <w:sz w:val="22"/>
                <w:szCs w:val="22"/>
              </w:rPr>
              <w:t>49.27</w:t>
            </w:r>
          </w:p>
        </w:tc>
        <w:tc>
          <w:tcPr>
            <w:tcW w:w="1463" w:type="dxa"/>
            <w:tcBorders>
              <w:top w:val="nil"/>
              <w:left w:val="nil"/>
              <w:bottom w:val="single" w:sz="4" w:space="0" w:color="auto"/>
              <w:right w:val="single" w:sz="4" w:space="0" w:color="auto"/>
            </w:tcBorders>
            <w:shd w:val="clear" w:color="000000" w:fill="FFFFFF"/>
            <w:vAlign w:val="center"/>
            <w:hideMark/>
          </w:tcPr>
          <w:p w14:paraId="436842E5" w14:textId="77777777" w:rsidR="00221BE2" w:rsidRPr="00E619C8" w:rsidRDefault="00221BE2">
            <w:pPr>
              <w:jc w:val="center"/>
              <w:rPr>
                <w:rFonts w:ascii="Arial" w:hAnsi="Arial" w:cs="Arial"/>
                <w:sz w:val="22"/>
                <w:szCs w:val="22"/>
              </w:rPr>
            </w:pPr>
            <w:r w:rsidRPr="00E619C8">
              <w:rPr>
                <w:rFonts w:ascii="Arial" w:hAnsi="Arial" w:cs="Arial"/>
                <w:sz w:val="22"/>
                <w:szCs w:val="22"/>
              </w:rPr>
              <w:t>69.05</w:t>
            </w:r>
          </w:p>
        </w:tc>
        <w:tc>
          <w:tcPr>
            <w:tcW w:w="1550" w:type="dxa"/>
            <w:tcBorders>
              <w:top w:val="nil"/>
              <w:left w:val="nil"/>
              <w:bottom w:val="single" w:sz="4" w:space="0" w:color="auto"/>
              <w:right w:val="single" w:sz="4" w:space="0" w:color="auto"/>
            </w:tcBorders>
            <w:shd w:val="clear" w:color="000000" w:fill="FFFFFF"/>
            <w:vAlign w:val="center"/>
            <w:hideMark/>
          </w:tcPr>
          <w:p w14:paraId="11DB3239" w14:textId="77777777" w:rsidR="00221BE2" w:rsidRPr="00E619C8" w:rsidRDefault="00221BE2">
            <w:pPr>
              <w:jc w:val="center"/>
              <w:rPr>
                <w:rFonts w:ascii="Arial" w:hAnsi="Arial" w:cs="Arial"/>
                <w:sz w:val="22"/>
                <w:szCs w:val="22"/>
              </w:rPr>
            </w:pPr>
            <w:r w:rsidRPr="00E619C8">
              <w:rPr>
                <w:rFonts w:ascii="Arial" w:hAnsi="Arial" w:cs="Arial"/>
                <w:sz w:val="22"/>
                <w:szCs w:val="22"/>
              </w:rPr>
              <w:t>31.8</w:t>
            </w:r>
          </w:p>
        </w:tc>
      </w:tr>
      <w:tr w:rsidR="00FC1D48" w:rsidRPr="00E619C8" w14:paraId="48A1665D" w14:textId="77777777" w:rsidTr="00FC1D48">
        <w:trPr>
          <w:trHeight w:val="799"/>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3E9C54EA" w14:textId="77777777" w:rsidR="00221BE2" w:rsidRPr="00E619C8" w:rsidRDefault="00221BE2">
            <w:pPr>
              <w:jc w:val="center"/>
              <w:rPr>
                <w:rFonts w:ascii="Calibri" w:hAnsi="Calibri" w:cs="Calibri"/>
                <w:sz w:val="22"/>
                <w:szCs w:val="22"/>
              </w:rPr>
            </w:pPr>
            <w:r w:rsidRPr="00E619C8">
              <w:rPr>
                <w:rFonts w:ascii="Calibri" w:hAnsi="Calibri" w:cs="Calibri"/>
                <w:sz w:val="22"/>
                <w:szCs w:val="22"/>
              </w:rPr>
              <w:t>7</w:t>
            </w:r>
          </w:p>
        </w:tc>
        <w:tc>
          <w:tcPr>
            <w:tcW w:w="2653" w:type="dxa"/>
            <w:tcBorders>
              <w:top w:val="nil"/>
              <w:left w:val="nil"/>
              <w:bottom w:val="single" w:sz="4" w:space="0" w:color="auto"/>
              <w:right w:val="single" w:sz="4" w:space="0" w:color="auto"/>
            </w:tcBorders>
            <w:shd w:val="clear" w:color="000000" w:fill="FFFFFF"/>
            <w:vAlign w:val="center"/>
            <w:hideMark/>
          </w:tcPr>
          <w:p w14:paraId="0E725872"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Badan Pengelolaan Pendapatan Daerah</w:t>
            </w:r>
          </w:p>
        </w:tc>
        <w:tc>
          <w:tcPr>
            <w:tcW w:w="966" w:type="dxa"/>
            <w:tcBorders>
              <w:top w:val="nil"/>
              <w:left w:val="nil"/>
              <w:bottom w:val="single" w:sz="4" w:space="0" w:color="auto"/>
              <w:right w:val="single" w:sz="4" w:space="0" w:color="auto"/>
            </w:tcBorders>
            <w:shd w:val="clear" w:color="000000" w:fill="FFFFFF"/>
            <w:vAlign w:val="center"/>
            <w:hideMark/>
          </w:tcPr>
          <w:p w14:paraId="53B7D32C" w14:textId="77777777" w:rsidR="00221BE2" w:rsidRPr="00E619C8" w:rsidRDefault="00221BE2">
            <w:pPr>
              <w:jc w:val="center"/>
              <w:rPr>
                <w:rFonts w:ascii="Arial" w:hAnsi="Arial" w:cs="Arial"/>
                <w:sz w:val="22"/>
                <w:szCs w:val="22"/>
              </w:rPr>
            </w:pPr>
            <w:r w:rsidRPr="00E619C8">
              <w:rPr>
                <w:rFonts w:ascii="Arial" w:hAnsi="Arial" w:cs="Arial"/>
                <w:sz w:val="22"/>
                <w:szCs w:val="22"/>
              </w:rPr>
              <w:t>42.38</w:t>
            </w:r>
          </w:p>
        </w:tc>
        <w:tc>
          <w:tcPr>
            <w:tcW w:w="1695" w:type="dxa"/>
            <w:tcBorders>
              <w:top w:val="nil"/>
              <w:left w:val="nil"/>
              <w:bottom w:val="single" w:sz="4" w:space="0" w:color="auto"/>
              <w:right w:val="single" w:sz="4" w:space="0" w:color="auto"/>
            </w:tcBorders>
            <w:shd w:val="clear" w:color="000000" w:fill="FFFFFF"/>
            <w:vAlign w:val="center"/>
            <w:hideMark/>
          </w:tcPr>
          <w:p w14:paraId="4E2D1CF2" w14:textId="77777777" w:rsidR="00221BE2" w:rsidRPr="00E619C8" w:rsidRDefault="00221BE2">
            <w:pPr>
              <w:jc w:val="center"/>
              <w:rPr>
                <w:rFonts w:ascii="Arial" w:hAnsi="Arial" w:cs="Arial"/>
                <w:sz w:val="22"/>
                <w:szCs w:val="22"/>
              </w:rPr>
            </w:pPr>
            <w:r w:rsidRPr="00E619C8">
              <w:rPr>
                <w:rFonts w:ascii="Arial" w:hAnsi="Arial" w:cs="Arial"/>
                <w:sz w:val="22"/>
                <w:szCs w:val="22"/>
              </w:rPr>
              <w:t>79.54</w:t>
            </w:r>
          </w:p>
        </w:tc>
        <w:tc>
          <w:tcPr>
            <w:tcW w:w="1463" w:type="dxa"/>
            <w:tcBorders>
              <w:top w:val="nil"/>
              <w:left w:val="nil"/>
              <w:bottom w:val="single" w:sz="4" w:space="0" w:color="auto"/>
              <w:right w:val="single" w:sz="4" w:space="0" w:color="auto"/>
            </w:tcBorders>
            <w:shd w:val="clear" w:color="000000" w:fill="FFFFFF"/>
            <w:vAlign w:val="center"/>
            <w:hideMark/>
          </w:tcPr>
          <w:p w14:paraId="33BC4136" w14:textId="77777777" w:rsidR="00221BE2" w:rsidRPr="00E619C8" w:rsidRDefault="00221BE2">
            <w:pPr>
              <w:jc w:val="center"/>
              <w:rPr>
                <w:rFonts w:ascii="Arial" w:hAnsi="Arial" w:cs="Arial"/>
                <w:sz w:val="22"/>
                <w:szCs w:val="22"/>
              </w:rPr>
            </w:pPr>
            <w:r w:rsidRPr="00E619C8">
              <w:rPr>
                <w:rFonts w:ascii="Arial" w:hAnsi="Arial" w:cs="Arial"/>
                <w:sz w:val="22"/>
                <w:szCs w:val="22"/>
              </w:rPr>
              <w:t>11.7</w:t>
            </w:r>
          </w:p>
        </w:tc>
        <w:tc>
          <w:tcPr>
            <w:tcW w:w="1550" w:type="dxa"/>
            <w:tcBorders>
              <w:top w:val="nil"/>
              <w:left w:val="nil"/>
              <w:bottom w:val="single" w:sz="4" w:space="0" w:color="auto"/>
              <w:right w:val="single" w:sz="4" w:space="0" w:color="auto"/>
            </w:tcBorders>
            <w:shd w:val="clear" w:color="000000" w:fill="FFFFFF"/>
            <w:vAlign w:val="center"/>
            <w:hideMark/>
          </w:tcPr>
          <w:p w14:paraId="581E9187" w14:textId="77777777" w:rsidR="00221BE2" w:rsidRPr="00E619C8" w:rsidRDefault="00221BE2">
            <w:pPr>
              <w:jc w:val="center"/>
              <w:rPr>
                <w:rFonts w:ascii="Arial" w:hAnsi="Arial" w:cs="Arial"/>
                <w:sz w:val="22"/>
                <w:szCs w:val="22"/>
              </w:rPr>
            </w:pPr>
            <w:r w:rsidRPr="00E619C8">
              <w:rPr>
                <w:rFonts w:ascii="Arial" w:hAnsi="Arial" w:cs="Arial"/>
                <w:sz w:val="22"/>
                <w:szCs w:val="22"/>
              </w:rPr>
              <w:t>29.05</w:t>
            </w:r>
          </w:p>
        </w:tc>
      </w:tr>
      <w:tr w:rsidR="00FC1D48" w:rsidRPr="00E619C8" w14:paraId="113036E3" w14:textId="77777777" w:rsidTr="00FC1D48">
        <w:trPr>
          <w:trHeight w:val="642"/>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5090BD41" w14:textId="77777777" w:rsidR="00221BE2" w:rsidRPr="00E619C8" w:rsidRDefault="00221BE2">
            <w:pPr>
              <w:jc w:val="center"/>
              <w:rPr>
                <w:rFonts w:ascii="Calibri" w:hAnsi="Calibri" w:cs="Calibri"/>
                <w:sz w:val="22"/>
                <w:szCs w:val="22"/>
              </w:rPr>
            </w:pPr>
            <w:r w:rsidRPr="00E619C8">
              <w:rPr>
                <w:rFonts w:ascii="Calibri" w:hAnsi="Calibri" w:cs="Calibri"/>
                <w:sz w:val="22"/>
                <w:szCs w:val="22"/>
              </w:rPr>
              <w:t>8</w:t>
            </w:r>
          </w:p>
        </w:tc>
        <w:tc>
          <w:tcPr>
            <w:tcW w:w="2653" w:type="dxa"/>
            <w:tcBorders>
              <w:top w:val="nil"/>
              <w:left w:val="nil"/>
              <w:bottom w:val="single" w:sz="4" w:space="0" w:color="auto"/>
              <w:right w:val="single" w:sz="4" w:space="0" w:color="auto"/>
            </w:tcBorders>
            <w:shd w:val="clear" w:color="000000" w:fill="FFFFFF"/>
            <w:vAlign w:val="center"/>
            <w:hideMark/>
          </w:tcPr>
          <w:p w14:paraId="5BB94433"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Dinas Lingkungan Hidup dan Kehutanan</w:t>
            </w:r>
          </w:p>
        </w:tc>
        <w:tc>
          <w:tcPr>
            <w:tcW w:w="966" w:type="dxa"/>
            <w:tcBorders>
              <w:top w:val="nil"/>
              <w:left w:val="nil"/>
              <w:bottom w:val="single" w:sz="4" w:space="0" w:color="auto"/>
              <w:right w:val="single" w:sz="4" w:space="0" w:color="auto"/>
            </w:tcBorders>
            <w:shd w:val="clear" w:color="000000" w:fill="FFFFFF"/>
            <w:vAlign w:val="center"/>
            <w:hideMark/>
          </w:tcPr>
          <w:p w14:paraId="6D7A2D58" w14:textId="77777777" w:rsidR="00221BE2" w:rsidRPr="00E619C8" w:rsidRDefault="00221BE2">
            <w:pPr>
              <w:jc w:val="center"/>
              <w:rPr>
                <w:rFonts w:ascii="Arial" w:hAnsi="Arial" w:cs="Arial"/>
                <w:sz w:val="22"/>
                <w:szCs w:val="22"/>
              </w:rPr>
            </w:pPr>
            <w:r w:rsidRPr="00E619C8">
              <w:rPr>
                <w:rFonts w:ascii="Arial" w:hAnsi="Arial" w:cs="Arial"/>
                <w:sz w:val="22"/>
                <w:szCs w:val="22"/>
              </w:rPr>
              <w:t>39.73</w:t>
            </w:r>
          </w:p>
        </w:tc>
        <w:tc>
          <w:tcPr>
            <w:tcW w:w="1695" w:type="dxa"/>
            <w:tcBorders>
              <w:top w:val="nil"/>
              <w:left w:val="nil"/>
              <w:bottom w:val="single" w:sz="4" w:space="0" w:color="auto"/>
              <w:right w:val="single" w:sz="4" w:space="0" w:color="auto"/>
            </w:tcBorders>
            <w:shd w:val="clear" w:color="000000" w:fill="FFFFFF"/>
            <w:vAlign w:val="center"/>
            <w:hideMark/>
          </w:tcPr>
          <w:p w14:paraId="032A7A7D" w14:textId="77777777" w:rsidR="00221BE2" w:rsidRPr="00E619C8" w:rsidRDefault="00221BE2">
            <w:pPr>
              <w:jc w:val="center"/>
              <w:rPr>
                <w:rFonts w:ascii="Arial" w:hAnsi="Arial" w:cs="Arial"/>
                <w:sz w:val="22"/>
                <w:szCs w:val="22"/>
              </w:rPr>
            </w:pPr>
            <w:r w:rsidRPr="00E619C8">
              <w:rPr>
                <w:rFonts w:ascii="Arial" w:hAnsi="Arial" w:cs="Arial"/>
                <w:sz w:val="22"/>
                <w:szCs w:val="22"/>
              </w:rPr>
              <w:t>59.55</w:t>
            </w:r>
          </w:p>
        </w:tc>
        <w:tc>
          <w:tcPr>
            <w:tcW w:w="1463" w:type="dxa"/>
            <w:tcBorders>
              <w:top w:val="nil"/>
              <w:left w:val="nil"/>
              <w:bottom w:val="single" w:sz="4" w:space="0" w:color="auto"/>
              <w:right w:val="single" w:sz="4" w:space="0" w:color="auto"/>
            </w:tcBorders>
            <w:shd w:val="clear" w:color="000000" w:fill="FFFFFF"/>
            <w:vAlign w:val="center"/>
            <w:hideMark/>
          </w:tcPr>
          <w:p w14:paraId="0FA9C815" w14:textId="77777777" w:rsidR="00221BE2" w:rsidRPr="00E619C8" w:rsidRDefault="00221BE2">
            <w:pPr>
              <w:jc w:val="center"/>
              <w:rPr>
                <w:rFonts w:ascii="Arial" w:hAnsi="Arial" w:cs="Arial"/>
                <w:sz w:val="22"/>
                <w:szCs w:val="22"/>
              </w:rPr>
            </w:pPr>
            <w:r w:rsidRPr="00E619C8">
              <w:rPr>
                <w:rFonts w:ascii="Arial" w:hAnsi="Arial" w:cs="Arial"/>
                <w:sz w:val="22"/>
                <w:szCs w:val="22"/>
              </w:rPr>
              <w:t>32.2</w:t>
            </w:r>
          </w:p>
        </w:tc>
        <w:tc>
          <w:tcPr>
            <w:tcW w:w="1550" w:type="dxa"/>
            <w:tcBorders>
              <w:top w:val="nil"/>
              <w:left w:val="nil"/>
              <w:bottom w:val="single" w:sz="4" w:space="0" w:color="auto"/>
              <w:right w:val="single" w:sz="4" w:space="0" w:color="auto"/>
            </w:tcBorders>
            <w:shd w:val="clear" w:color="000000" w:fill="FFFFFF"/>
            <w:vAlign w:val="center"/>
            <w:hideMark/>
          </w:tcPr>
          <w:p w14:paraId="7F6D89B8" w14:textId="77777777" w:rsidR="00221BE2" w:rsidRPr="00E619C8" w:rsidRDefault="00221BE2">
            <w:pPr>
              <w:jc w:val="center"/>
              <w:rPr>
                <w:rFonts w:ascii="Arial" w:hAnsi="Arial" w:cs="Arial"/>
                <w:sz w:val="22"/>
                <w:szCs w:val="22"/>
              </w:rPr>
            </w:pPr>
            <w:r w:rsidRPr="00E619C8">
              <w:rPr>
                <w:rFonts w:ascii="Arial" w:hAnsi="Arial" w:cs="Arial"/>
                <w:sz w:val="22"/>
                <w:szCs w:val="22"/>
              </w:rPr>
              <w:t>27.1</w:t>
            </w:r>
          </w:p>
        </w:tc>
      </w:tr>
      <w:tr w:rsidR="00FC1D48" w:rsidRPr="00E619C8" w14:paraId="4694CE17" w14:textId="77777777" w:rsidTr="00FC1D48">
        <w:trPr>
          <w:trHeight w:val="650"/>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258E3CC" w14:textId="77777777" w:rsidR="00221BE2" w:rsidRPr="00E619C8" w:rsidRDefault="00221BE2">
            <w:pPr>
              <w:jc w:val="center"/>
              <w:rPr>
                <w:rFonts w:ascii="Calibri" w:hAnsi="Calibri" w:cs="Calibri"/>
                <w:sz w:val="22"/>
                <w:szCs w:val="22"/>
              </w:rPr>
            </w:pPr>
            <w:r w:rsidRPr="00E619C8">
              <w:rPr>
                <w:rFonts w:ascii="Calibri" w:hAnsi="Calibri" w:cs="Calibri"/>
                <w:sz w:val="22"/>
                <w:szCs w:val="22"/>
              </w:rPr>
              <w:t>9</w:t>
            </w:r>
          </w:p>
        </w:tc>
        <w:tc>
          <w:tcPr>
            <w:tcW w:w="2653" w:type="dxa"/>
            <w:tcBorders>
              <w:top w:val="nil"/>
              <w:left w:val="nil"/>
              <w:bottom w:val="single" w:sz="4" w:space="0" w:color="auto"/>
              <w:right w:val="single" w:sz="4" w:space="0" w:color="auto"/>
            </w:tcBorders>
            <w:shd w:val="clear" w:color="000000" w:fill="FFFFFF"/>
            <w:vAlign w:val="center"/>
            <w:hideMark/>
          </w:tcPr>
          <w:p w14:paraId="4727DCE1"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Dinas Pendidikan dan Kebudayaan</w:t>
            </w:r>
          </w:p>
        </w:tc>
        <w:tc>
          <w:tcPr>
            <w:tcW w:w="966" w:type="dxa"/>
            <w:tcBorders>
              <w:top w:val="nil"/>
              <w:left w:val="nil"/>
              <w:bottom w:val="single" w:sz="4" w:space="0" w:color="auto"/>
              <w:right w:val="single" w:sz="4" w:space="0" w:color="auto"/>
            </w:tcBorders>
            <w:shd w:val="clear" w:color="000000" w:fill="FFFFFF"/>
            <w:vAlign w:val="center"/>
            <w:hideMark/>
          </w:tcPr>
          <w:p w14:paraId="5F51806C" w14:textId="77777777" w:rsidR="00221BE2" w:rsidRPr="00E619C8" w:rsidRDefault="00221BE2">
            <w:pPr>
              <w:jc w:val="center"/>
              <w:rPr>
                <w:rFonts w:ascii="Arial" w:hAnsi="Arial" w:cs="Arial"/>
                <w:sz w:val="22"/>
                <w:szCs w:val="22"/>
              </w:rPr>
            </w:pPr>
            <w:r w:rsidRPr="00E619C8">
              <w:rPr>
                <w:rFonts w:ascii="Arial" w:hAnsi="Arial" w:cs="Arial"/>
                <w:sz w:val="22"/>
                <w:szCs w:val="22"/>
              </w:rPr>
              <w:t>39.19</w:t>
            </w:r>
          </w:p>
        </w:tc>
        <w:tc>
          <w:tcPr>
            <w:tcW w:w="1695" w:type="dxa"/>
            <w:tcBorders>
              <w:top w:val="nil"/>
              <w:left w:val="nil"/>
              <w:bottom w:val="single" w:sz="4" w:space="0" w:color="auto"/>
              <w:right w:val="single" w:sz="4" w:space="0" w:color="auto"/>
            </w:tcBorders>
            <w:shd w:val="clear" w:color="000000" w:fill="FFFFFF"/>
            <w:vAlign w:val="center"/>
            <w:hideMark/>
          </w:tcPr>
          <w:p w14:paraId="54B8A386" w14:textId="77777777" w:rsidR="00221BE2" w:rsidRPr="00E619C8" w:rsidRDefault="00221BE2">
            <w:pPr>
              <w:jc w:val="center"/>
              <w:rPr>
                <w:rFonts w:ascii="Arial" w:hAnsi="Arial" w:cs="Arial"/>
                <w:sz w:val="22"/>
                <w:szCs w:val="22"/>
              </w:rPr>
            </w:pPr>
            <w:r w:rsidRPr="00E619C8">
              <w:rPr>
                <w:rFonts w:ascii="Arial" w:hAnsi="Arial" w:cs="Arial"/>
                <w:sz w:val="22"/>
                <w:szCs w:val="22"/>
              </w:rPr>
              <w:t>41.88</w:t>
            </w:r>
          </w:p>
        </w:tc>
        <w:tc>
          <w:tcPr>
            <w:tcW w:w="1463" w:type="dxa"/>
            <w:tcBorders>
              <w:top w:val="nil"/>
              <w:left w:val="nil"/>
              <w:bottom w:val="single" w:sz="4" w:space="0" w:color="auto"/>
              <w:right w:val="single" w:sz="4" w:space="0" w:color="auto"/>
            </w:tcBorders>
            <w:shd w:val="clear" w:color="000000" w:fill="FFFFFF"/>
            <w:vAlign w:val="center"/>
            <w:hideMark/>
          </w:tcPr>
          <w:p w14:paraId="4A6621EC" w14:textId="77777777" w:rsidR="00221BE2" w:rsidRPr="00E619C8" w:rsidRDefault="00221BE2">
            <w:pPr>
              <w:jc w:val="center"/>
              <w:rPr>
                <w:rFonts w:ascii="Arial" w:hAnsi="Arial" w:cs="Arial"/>
                <w:sz w:val="22"/>
                <w:szCs w:val="22"/>
              </w:rPr>
            </w:pPr>
            <w:r w:rsidRPr="00E619C8">
              <w:rPr>
                <w:rFonts w:ascii="Arial" w:hAnsi="Arial" w:cs="Arial"/>
                <w:sz w:val="22"/>
                <w:szCs w:val="22"/>
              </w:rPr>
              <w:t>33</w:t>
            </w:r>
          </w:p>
        </w:tc>
        <w:tc>
          <w:tcPr>
            <w:tcW w:w="1550" w:type="dxa"/>
            <w:tcBorders>
              <w:top w:val="nil"/>
              <w:left w:val="nil"/>
              <w:bottom w:val="single" w:sz="4" w:space="0" w:color="auto"/>
              <w:right w:val="single" w:sz="4" w:space="0" w:color="auto"/>
            </w:tcBorders>
            <w:shd w:val="clear" w:color="000000" w:fill="FFFFFF"/>
            <w:vAlign w:val="center"/>
            <w:hideMark/>
          </w:tcPr>
          <w:p w14:paraId="4B303732" w14:textId="77777777" w:rsidR="00221BE2" w:rsidRPr="00E619C8" w:rsidRDefault="00221BE2">
            <w:pPr>
              <w:jc w:val="center"/>
              <w:rPr>
                <w:rFonts w:ascii="Arial" w:hAnsi="Arial" w:cs="Arial"/>
                <w:sz w:val="22"/>
                <w:szCs w:val="22"/>
              </w:rPr>
            </w:pPr>
            <w:r w:rsidRPr="00E619C8">
              <w:rPr>
                <w:rFonts w:ascii="Arial" w:hAnsi="Arial" w:cs="Arial"/>
                <w:sz w:val="22"/>
                <w:szCs w:val="22"/>
              </w:rPr>
              <w:t>40.7</w:t>
            </w:r>
          </w:p>
        </w:tc>
      </w:tr>
      <w:tr w:rsidR="00FC1D48" w:rsidRPr="00E619C8" w14:paraId="4DB2CFCA" w14:textId="77777777" w:rsidTr="00FC1D48">
        <w:trPr>
          <w:trHeight w:val="388"/>
        </w:trPr>
        <w:tc>
          <w:tcPr>
            <w:tcW w:w="740" w:type="dxa"/>
            <w:tcBorders>
              <w:top w:val="nil"/>
              <w:left w:val="single" w:sz="4" w:space="0" w:color="auto"/>
              <w:bottom w:val="single" w:sz="4" w:space="0" w:color="auto"/>
              <w:right w:val="single" w:sz="4" w:space="0" w:color="auto"/>
            </w:tcBorders>
            <w:shd w:val="clear" w:color="000000" w:fill="FFFFFF"/>
            <w:noWrap/>
            <w:vAlign w:val="center"/>
            <w:hideMark/>
          </w:tcPr>
          <w:p w14:paraId="21CBD578" w14:textId="77777777" w:rsidR="00221BE2" w:rsidRPr="00E619C8" w:rsidRDefault="00221BE2">
            <w:pPr>
              <w:jc w:val="center"/>
              <w:rPr>
                <w:rFonts w:ascii="Calibri" w:hAnsi="Calibri" w:cs="Calibri"/>
                <w:sz w:val="22"/>
                <w:szCs w:val="22"/>
              </w:rPr>
            </w:pPr>
            <w:r w:rsidRPr="00E619C8">
              <w:rPr>
                <w:rFonts w:ascii="Calibri" w:hAnsi="Calibri" w:cs="Calibri"/>
                <w:sz w:val="22"/>
                <w:szCs w:val="22"/>
              </w:rPr>
              <w:t>10</w:t>
            </w:r>
          </w:p>
        </w:tc>
        <w:tc>
          <w:tcPr>
            <w:tcW w:w="2653" w:type="dxa"/>
            <w:tcBorders>
              <w:top w:val="nil"/>
              <w:left w:val="nil"/>
              <w:bottom w:val="single" w:sz="4" w:space="0" w:color="auto"/>
              <w:right w:val="single" w:sz="4" w:space="0" w:color="auto"/>
            </w:tcBorders>
            <w:shd w:val="clear" w:color="000000" w:fill="FFFFFF"/>
            <w:vAlign w:val="center"/>
            <w:hideMark/>
          </w:tcPr>
          <w:p w14:paraId="23C91192"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Dinas Perindustrian</w:t>
            </w:r>
          </w:p>
        </w:tc>
        <w:tc>
          <w:tcPr>
            <w:tcW w:w="966" w:type="dxa"/>
            <w:tcBorders>
              <w:top w:val="nil"/>
              <w:left w:val="nil"/>
              <w:bottom w:val="single" w:sz="4" w:space="0" w:color="auto"/>
              <w:right w:val="single" w:sz="4" w:space="0" w:color="auto"/>
            </w:tcBorders>
            <w:shd w:val="clear" w:color="000000" w:fill="FFFFFF"/>
            <w:vAlign w:val="center"/>
            <w:hideMark/>
          </w:tcPr>
          <w:p w14:paraId="73B3D19F" w14:textId="77777777" w:rsidR="00221BE2" w:rsidRPr="00E619C8" w:rsidRDefault="00221BE2">
            <w:pPr>
              <w:jc w:val="center"/>
              <w:rPr>
                <w:rFonts w:ascii="Arial" w:hAnsi="Arial" w:cs="Arial"/>
                <w:sz w:val="22"/>
                <w:szCs w:val="22"/>
              </w:rPr>
            </w:pPr>
            <w:r w:rsidRPr="00E619C8">
              <w:rPr>
                <w:rFonts w:ascii="Arial" w:hAnsi="Arial" w:cs="Arial"/>
                <w:sz w:val="22"/>
                <w:szCs w:val="22"/>
              </w:rPr>
              <w:t>33.58</w:t>
            </w:r>
          </w:p>
        </w:tc>
        <w:tc>
          <w:tcPr>
            <w:tcW w:w="1695" w:type="dxa"/>
            <w:tcBorders>
              <w:top w:val="nil"/>
              <w:left w:val="nil"/>
              <w:bottom w:val="single" w:sz="4" w:space="0" w:color="auto"/>
              <w:right w:val="single" w:sz="4" w:space="0" w:color="auto"/>
            </w:tcBorders>
            <w:shd w:val="clear" w:color="000000" w:fill="FFFFFF"/>
            <w:vAlign w:val="center"/>
            <w:hideMark/>
          </w:tcPr>
          <w:p w14:paraId="547DBAD2" w14:textId="77777777" w:rsidR="00221BE2" w:rsidRPr="00E619C8" w:rsidRDefault="00221BE2">
            <w:pPr>
              <w:jc w:val="center"/>
              <w:rPr>
                <w:rFonts w:ascii="Arial" w:hAnsi="Arial" w:cs="Arial"/>
                <w:sz w:val="22"/>
                <w:szCs w:val="22"/>
              </w:rPr>
            </w:pPr>
            <w:r w:rsidRPr="00E619C8">
              <w:rPr>
                <w:rFonts w:ascii="Arial" w:hAnsi="Arial" w:cs="Arial"/>
                <w:sz w:val="22"/>
                <w:szCs w:val="22"/>
              </w:rPr>
              <w:t>55.53</w:t>
            </w:r>
          </w:p>
        </w:tc>
        <w:tc>
          <w:tcPr>
            <w:tcW w:w="1463" w:type="dxa"/>
            <w:tcBorders>
              <w:top w:val="nil"/>
              <w:left w:val="nil"/>
              <w:bottom w:val="single" w:sz="4" w:space="0" w:color="auto"/>
              <w:right w:val="single" w:sz="4" w:space="0" w:color="auto"/>
            </w:tcBorders>
            <w:shd w:val="clear" w:color="000000" w:fill="FFFFFF"/>
            <w:vAlign w:val="center"/>
            <w:hideMark/>
          </w:tcPr>
          <w:p w14:paraId="7674E014" w14:textId="77777777" w:rsidR="00221BE2" w:rsidRPr="00E619C8" w:rsidRDefault="00221BE2">
            <w:pPr>
              <w:jc w:val="center"/>
              <w:rPr>
                <w:rFonts w:ascii="Arial" w:hAnsi="Arial" w:cs="Arial"/>
                <w:sz w:val="22"/>
                <w:szCs w:val="22"/>
              </w:rPr>
            </w:pPr>
            <w:r w:rsidRPr="00E619C8">
              <w:rPr>
                <w:rFonts w:ascii="Arial" w:hAnsi="Arial" w:cs="Arial"/>
                <w:sz w:val="22"/>
                <w:szCs w:val="22"/>
              </w:rPr>
              <w:t>16.8</w:t>
            </w:r>
          </w:p>
        </w:tc>
        <w:tc>
          <w:tcPr>
            <w:tcW w:w="1550" w:type="dxa"/>
            <w:tcBorders>
              <w:top w:val="nil"/>
              <w:left w:val="nil"/>
              <w:bottom w:val="single" w:sz="4" w:space="0" w:color="auto"/>
              <w:right w:val="single" w:sz="4" w:space="0" w:color="auto"/>
            </w:tcBorders>
            <w:shd w:val="clear" w:color="000000" w:fill="FFFFFF"/>
            <w:vAlign w:val="center"/>
            <w:hideMark/>
          </w:tcPr>
          <w:p w14:paraId="7CC55EA4" w14:textId="77777777" w:rsidR="00221BE2" w:rsidRPr="00E619C8" w:rsidRDefault="00221BE2">
            <w:pPr>
              <w:jc w:val="center"/>
              <w:rPr>
                <w:rFonts w:ascii="Arial" w:hAnsi="Arial" w:cs="Arial"/>
                <w:sz w:val="22"/>
                <w:szCs w:val="22"/>
              </w:rPr>
            </w:pPr>
            <w:r w:rsidRPr="00E619C8">
              <w:rPr>
                <w:rFonts w:ascii="Arial" w:hAnsi="Arial" w:cs="Arial"/>
                <w:sz w:val="22"/>
                <w:szCs w:val="22"/>
              </w:rPr>
              <w:t>24.85</w:t>
            </w:r>
          </w:p>
        </w:tc>
      </w:tr>
    </w:tbl>
    <w:p w14:paraId="7A0A5148" w14:textId="08CBE427" w:rsidR="002033A5" w:rsidRPr="00E619C8" w:rsidRDefault="00E113EC">
      <w:pPr>
        <w:spacing w:before="240" w:after="240" w:line="300" w:lineRule="auto"/>
        <w:jc w:val="center"/>
        <w:rPr>
          <w:rFonts w:ascii="Arial" w:eastAsia="Arial" w:hAnsi="Arial" w:cs="Arial"/>
          <w:sz w:val="20"/>
          <w:szCs w:val="20"/>
        </w:rPr>
      </w:pPr>
      <w:r w:rsidRPr="00E619C8">
        <w:rPr>
          <w:rFonts w:ascii="Arial" w:eastAsia="Arial" w:hAnsi="Arial" w:cs="Arial"/>
          <w:sz w:val="20"/>
          <w:szCs w:val="20"/>
        </w:rPr>
        <w:t xml:space="preserve">Table </w:t>
      </w:r>
      <w:r w:rsidR="00DD0F1A" w:rsidRPr="00E619C8">
        <w:rPr>
          <w:rFonts w:ascii="Arial" w:eastAsia="Arial" w:hAnsi="Arial" w:cs="Arial"/>
          <w:sz w:val="20"/>
          <w:szCs w:val="20"/>
        </w:rPr>
        <w:t>5</w:t>
      </w:r>
      <w:r w:rsidRPr="00E619C8">
        <w:rPr>
          <w:rFonts w:ascii="Arial" w:eastAsia="Arial" w:hAnsi="Arial" w:cs="Arial"/>
          <w:sz w:val="20"/>
          <w:szCs w:val="20"/>
        </w:rPr>
        <w:t>. Top 10 Procuring Entities by ITI Score</w:t>
      </w:r>
    </w:p>
    <w:p w14:paraId="78DD27C5" w14:textId="7777777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The top three positions are occupied by Dinas Pekerjaan Umum dan Penataan Ruang - Bidang Bina Marga (Public Works and Spatial Planning Office - Highway Division), Rumah Sakit Mandalika (Mandalika Hospital), and Rumah Sakit Jiwa Mutiara Sukma Provinsi (Mutiara Sukma Provincial Mental Hospital).</w:t>
      </w:r>
    </w:p>
    <w:p w14:paraId="574BB111" w14:textId="7777777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These entities demonstrate relatively strong institutional capacities and higher levels of citizen participation compared to other PEs. Across the ranking, Dimension 2 and Dimension 3 scores tend to be substantially higher than Dimension 4 scores, indicating that while internal capacities and participation mechanisms are relatively developed, the disclosure of infrastructure project information remains more limited.</w:t>
      </w:r>
    </w:p>
    <w:p w14:paraId="0DD4C6CD" w14:textId="77777777" w:rsidR="002033A5" w:rsidRPr="00E619C8" w:rsidRDefault="00E113EC">
      <w:pPr>
        <w:spacing w:before="240" w:after="240" w:line="300" w:lineRule="auto"/>
        <w:jc w:val="both"/>
        <w:rPr>
          <w:rFonts w:ascii="Arial" w:eastAsia="Arial" w:hAnsi="Arial" w:cs="Arial"/>
          <w:b/>
          <w:bCs/>
          <w:sz w:val="22"/>
          <w:szCs w:val="22"/>
        </w:rPr>
      </w:pPr>
      <w:r w:rsidRPr="00E619C8">
        <w:rPr>
          <w:rFonts w:ascii="Arial" w:eastAsia="Arial" w:hAnsi="Arial" w:cs="Arial"/>
          <w:b/>
          <w:bCs/>
          <w:sz w:val="22"/>
          <w:szCs w:val="22"/>
        </w:rPr>
        <w:t>b. Positive and Negative ITI Scores and Score Gaps</w:t>
      </w:r>
    </w:p>
    <w:p w14:paraId="3780C274" w14:textId="2B23A92D" w:rsidR="00657A47"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Considering all 19 procuring entities, none obtained a</w:t>
      </w:r>
      <w:r w:rsidR="00500600" w:rsidRPr="00E619C8">
        <w:rPr>
          <w:rFonts w:ascii="Arial" w:eastAsia="Arial" w:hAnsi="Arial" w:cs="Arial"/>
          <w:sz w:val="22"/>
          <w:szCs w:val="22"/>
        </w:rPr>
        <w:t xml:space="preserve"> substantive</w:t>
      </w:r>
      <w:r w:rsidRPr="00E619C8">
        <w:rPr>
          <w:rFonts w:ascii="Arial" w:eastAsia="Arial" w:hAnsi="Arial" w:cs="Arial"/>
          <w:sz w:val="22"/>
          <w:szCs w:val="22"/>
        </w:rPr>
        <w:t xml:space="preserve"> negative ITI score, indicating that all evaluated PEs have at least a minimum level of transparency and integrity practices in place. However, the absence of </w:t>
      </w:r>
      <w:r w:rsidR="00500600" w:rsidRPr="00E619C8">
        <w:rPr>
          <w:rFonts w:ascii="Arial" w:eastAsia="Arial" w:hAnsi="Arial" w:cs="Arial"/>
          <w:sz w:val="22"/>
          <w:szCs w:val="22"/>
        </w:rPr>
        <w:t xml:space="preserve">these strong </w:t>
      </w:r>
      <w:r w:rsidRPr="00E619C8">
        <w:rPr>
          <w:rFonts w:ascii="Arial" w:eastAsia="Arial" w:hAnsi="Arial" w:cs="Arial"/>
          <w:sz w:val="22"/>
          <w:szCs w:val="22"/>
        </w:rPr>
        <w:t>negative scores does not imply uniform performance. A clear gap between PEs is evident, as reflected in the difference between the highest ITI score (57.02)</w:t>
      </w:r>
      <w:r w:rsidR="004819ED" w:rsidRPr="00E619C8">
        <w:rPr>
          <w:rFonts w:ascii="Arial" w:eastAsia="Arial" w:hAnsi="Arial" w:cs="Arial"/>
          <w:sz w:val="22"/>
          <w:szCs w:val="22"/>
        </w:rPr>
        <w:t xml:space="preserve">, </w:t>
      </w:r>
      <w:r w:rsidRPr="00E619C8">
        <w:rPr>
          <w:rFonts w:ascii="Arial" w:eastAsia="Arial" w:hAnsi="Arial" w:cs="Arial"/>
          <w:sz w:val="22"/>
          <w:szCs w:val="22"/>
        </w:rPr>
        <w:t xml:space="preserve">the lowest score within the top 10 (33.58), </w:t>
      </w:r>
      <w:r w:rsidR="004819ED" w:rsidRPr="00E619C8">
        <w:rPr>
          <w:rFonts w:ascii="Arial" w:eastAsia="Arial" w:hAnsi="Arial" w:cs="Arial"/>
          <w:sz w:val="22"/>
          <w:szCs w:val="22"/>
        </w:rPr>
        <w:t>and the lowest score among all evaluated entities (18.75)</w:t>
      </w:r>
      <w:r w:rsidRPr="00E619C8">
        <w:rPr>
          <w:rFonts w:ascii="Arial" w:eastAsia="Arial" w:hAnsi="Arial" w:cs="Arial"/>
          <w:sz w:val="22"/>
          <w:szCs w:val="22"/>
        </w:rPr>
        <w:t>. This gap demonstra</w:t>
      </w:r>
      <w:r w:rsidR="004819ED" w:rsidRPr="00E619C8">
        <w:rPr>
          <w:rFonts w:ascii="Arial" w:eastAsia="Arial" w:hAnsi="Arial" w:cs="Arial"/>
          <w:sz w:val="22"/>
          <w:szCs w:val="22"/>
        </w:rPr>
        <w:t>tes</w:t>
      </w:r>
      <w:r w:rsidRPr="00E619C8">
        <w:rPr>
          <w:rFonts w:ascii="Arial" w:eastAsia="Arial" w:hAnsi="Arial" w:cs="Arial"/>
          <w:sz w:val="22"/>
          <w:szCs w:val="22"/>
        </w:rPr>
        <w:t xml:space="preserve"> significant disparities in the implementation of ITI principles. This gap suggests uneven institutional capacities, differences in disclosure practices, and varying levels of commitment to citizen participation across procuring entities</w:t>
      </w:r>
      <w:r w:rsidR="00657A47" w:rsidRPr="00E619C8">
        <w:rPr>
          <w:rFonts w:ascii="Arial" w:eastAsia="Arial" w:hAnsi="Arial" w:cs="Arial"/>
          <w:sz w:val="22"/>
          <w:szCs w:val="22"/>
        </w:rPr>
        <w:t xml:space="preserve">. </w:t>
      </w:r>
    </w:p>
    <w:p w14:paraId="16984227" w14:textId="77777777" w:rsidR="002033A5" w:rsidRPr="00E619C8" w:rsidRDefault="00E113EC">
      <w:pPr>
        <w:spacing w:before="240" w:after="240" w:line="300" w:lineRule="auto"/>
        <w:jc w:val="both"/>
        <w:rPr>
          <w:rFonts w:ascii="Arial" w:eastAsia="Arial" w:hAnsi="Arial" w:cs="Arial"/>
          <w:b/>
          <w:bCs/>
          <w:sz w:val="22"/>
          <w:szCs w:val="22"/>
        </w:rPr>
      </w:pPr>
      <w:r w:rsidRPr="00E619C8">
        <w:rPr>
          <w:rFonts w:ascii="Arial" w:eastAsia="Arial" w:hAnsi="Arial" w:cs="Arial"/>
          <w:b/>
          <w:bCs/>
          <w:sz w:val="22"/>
          <w:szCs w:val="22"/>
        </w:rPr>
        <w:t>c. Distribution of ITI Scores by Quartiles</w:t>
      </w:r>
    </w:p>
    <w:p w14:paraId="6A2E9035" w14:textId="493B96AB" w:rsidR="002033A5" w:rsidRPr="00E619C8" w:rsidRDefault="00787945">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To provide an additional perspective on the distribution of ITI scores, Procuring Entities were grouped into four quartiles based on their overall ITI performance. The quartiles were constructed by ranking all 19 Procuring Entities </w:t>
      </w:r>
      <w:r w:rsidR="00214C90">
        <w:rPr>
          <w:rFonts w:ascii="Arial" w:eastAsia="Arial" w:hAnsi="Arial" w:cs="Arial"/>
          <w:sz w:val="22"/>
          <w:szCs w:val="22"/>
        </w:rPr>
        <w:t>by ITI score from highest to lowest and dividing them into four groups with approximately equal numbers of entities in each</w:t>
      </w:r>
      <w:r w:rsidRPr="00E619C8">
        <w:rPr>
          <w:rFonts w:ascii="Arial" w:eastAsia="Arial" w:hAnsi="Arial" w:cs="Arial"/>
          <w:sz w:val="22"/>
          <w:szCs w:val="22"/>
        </w:rPr>
        <w:t xml:space="preserve">. Table 6 </w:t>
      </w:r>
      <w:r w:rsidR="00214C90">
        <w:rPr>
          <w:rFonts w:ascii="Arial" w:eastAsia="Arial" w:hAnsi="Arial" w:cs="Arial"/>
          <w:sz w:val="22"/>
          <w:szCs w:val="22"/>
        </w:rPr>
        <w:t>summarises</w:t>
      </w:r>
      <w:r w:rsidRPr="00E619C8">
        <w:rPr>
          <w:rFonts w:ascii="Arial" w:eastAsia="Arial" w:hAnsi="Arial" w:cs="Arial"/>
          <w:sz w:val="22"/>
          <w:szCs w:val="22"/>
        </w:rPr>
        <w:t xml:space="preserve"> the average ITI score for each quartile.</w:t>
      </w:r>
    </w:p>
    <w:tbl>
      <w:tblPr>
        <w:tblW w:w="8995" w:type="dxa"/>
        <w:tblLook w:val="04A0" w:firstRow="1" w:lastRow="0" w:firstColumn="1" w:lastColumn="0" w:noHBand="0" w:noVBand="1"/>
      </w:tblPr>
      <w:tblGrid>
        <w:gridCol w:w="1200"/>
        <w:gridCol w:w="4552"/>
        <w:gridCol w:w="2158"/>
        <w:gridCol w:w="1085"/>
      </w:tblGrid>
      <w:tr w:rsidR="00221BE2" w:rsidRPr="00E619C8" w14:paraId="0C92D9D3" w14:textId="77777777" w:rsidTr="00FC1D48">
        <w:trPr>
          <w:trHeight w:val="888"/>
          <w:tblHeader/>
        </w:trPr>
        <w:tc>
          <w:tcPr>
            <w:tcW w:w="120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388E3CBA" w14:textId="77777777" w:rsidR="00221BE2" w:rsidRPr="00E619C8" w:rsidRDefault="00221BE2">
            <w:pPr>
              <w:jc w:val="center"/>
              <w:rPr>
                <w:rFonts w:ascii="Arial" w:hAnsi="Arial" w:cs="Arial"/>
                <w:b/>
                <w:bCs/>
                <w:color w:val="FFFFFF"/>
                <w:sz w:val="22"/>
                <w:szCs w:val="22"/>
              </w:rPr>
            </w:pPr>
            <w:r w:rsidRPr="00E619C8">
              <w:rPr>
                <w:rFonts w:ascii="Arial" w:hAnsi="Arial" w:cs="Arial"/>
                <w:b/>
                <w:bCs/>
                <w:color w:val="FFFFFF"/>
                <w:sz w:val="22"/>
                <w:szCs w:val="22"/>
              </w:rPr>
              <w:t>Rank</w:t>
            </w:r>
          </w:p>
        </w:tc>
        <w:tc>
          <w:tcPr>
            <w:tcW w:w="4555" w:type="dxa"/>
            <w:tcBorders>
              <w:top w:val="single" w:sz="4" w:space="0" w:color="auto"/>
              <w:left w:val="nil"/>
              <w:bottom w:val="single" w:sz="4" w:space="0" w:color="auto"/>
              <w:right w:val="single" w:sz="4" w:space="0" w:color="auto"/>
            </w:tcBorders>
            <w:shd w:val="clear" w:color="auto" w:fill="C00000"/>
            <w:vAlign w:val="center"/>
            <w:hideMark/>
          </w:tcPr>
          <w:p w14:paraId="43BC8F73" w14:textId="77777777" w:rsidR="00221BE2" w:rsidRPr="00E619C8" w:rsidRDefault="00221BE2">
            <w:pPr>
              <w:jc w:val="center"/>
              <w:rPr>
                <w:rFonts w:ascii="Arial" w:hAnsi="Arial" w:cs="Arial"/>
                <w:b/>
                <w:bCs/>
                <w:color w:val="FFFFFF"/>
                <w:sz w:val="22"/>
                <w:szCs w:val="22"/>
              </w:rPr>
            </w:pPr>
            <w:r w:rsidRPr="00E619C8">
              <w:rPr>
                <w:rFonts w:ascii="Arial" w:hAnsi="Arial" w:cs="Arial"/>
                <w:b/>
                <w:bCs/>
                <w:color w:val="FFFFFF"/>
                <w:sz w:val="22"/>
                <w:szCs w:val="22"/>
              </w:rPr>
              <w:t>Procuring Entity</w:t>
            </w:r>
          </w:p>
        </w:tc>
        <w:tc>
          <w:tcPr>
            <w:tcW w:w="2160" w:type="dxa"/>
            <w:tcBorders>
              <w:top w:val="single" w:sz="4" w:space="0" w:color="auto"/>
              <w:left w:val="nil"/>
              <w:bottom w:val="single" w:sz="4" w:space="0" w:color="auto"/>
              <w:right w:val="single" w:sz="4" w:space="0" w:color="auto"/>
            </w:tcBorders>
            <w:shd w:val="clear" w:color="auto" w:fill="C00000"/>
            <w:vAlign w:val="center"/>
            <w:hideMark/>
          </w:tcPr>
          <w:p w14:paraId="33D80D7D" w14:textId="77777777" w:rsidR="00221BE2" w:rsidRPr="00E619C8" w:rsidRDefault="00221BE2">
            <w:pPr>
              <w:jc w:val="center"/>
              <w:rPr>
                <w:rFonts w:ascii="Arial" w:hAnsi="Arial" w:cs="Arial"/>
                <w:b/>
                <w:bCs/>
                <w:color w:val="FFFFFF"/>
                <w:sz w:val="22"/>
                <w:szCs w:val="22"/>
              </w:rPr>
            </w:pPr>
            <w:r w:rsidRPr="00E619C8">
              <w:rPr>
                <w:rFonts w:ascii="Arial" w:hAnsi="Arial" w:cs="Arial"/>
                <w:b/>
                <w:bCs/>
                <w:color w:val="FFFFFF"/>
                <w:sz w:val="22"/>
                <w:szCs w:val="22"/>
              </w:rPr>
              <w:t>ITI Score</w:t>
            </w:r>
          </w:p>
        </w:tc>
        <w:tc>
          <w:tcPr>
            <w:tcW w:w="1080" w:type="dxa"/>
            <w:tcBorders>
              <w:top w:val="single" w:sz="4" w:space="0" w:color="auto"/>
              <w:left w:val="nil"/>
              <w:bottom w:val="single" w:sz="4" w:space="0" w:color="auto"/>
              <w:right w:val="single" w:sz="4" w:space="0" w:color="auto"/>
            </w:tcBorders>
            <w:shd w:val="clear" w:color="auto" w:fill="C00000"/>
            <w:vAlign w:val="center"/>
            <w:hideMark/>
          </w:tcPr>
          <w:p w14:paraId="028A3EAB" w14:textId="77777777" w:rsidR="00221BE2" w:rsidRPr="00E619C8" w:rsidRDefault="00221BE2">
            <w:pPr>
              <w:jc w:val="center"/>
              <w:rPr>
                <w:rFonts w:ascii="Arial" w:hAnsi="Arial" w:cs="Arial"/>
                <w:b/>
                <w:bCs/>
                <w:color w:val="FFFFFF"/>
                <w:sz w:val="22"/>
                <w:szCs w:val="22"/>
              </w:rPr>
            </w:pPr>
            <w:r w:rsidRPr="00E619C8">
              <w:rPr>
                <w:rFonts w:ascii="Arial" w:hAnsi="Arial" w:cs="Arial"/>
                <w:b/>
                <w:bCs/>
                <w:color w:val="FFFFFF"/>
                <w:sz w:val="22"/>
                <w:szCs w:val="22"/>
              </w:rPr>
              <w:t>Average</w:t>
            </w:r>
          </w:p>
        </w:tc>
      </w:tr>
      <w:tr w:rsidR="00221BE2" w:rsidRPr="00E619C8" w14:paraId="648792B8" w14:textId="77777777" w:rsidTr="00221BE2">
        <w:trPr>
          <w:trHeight w:val="408"/>
        </w:trPr>
        <w:tc>
          <w:tcPr>
            <w:tcW w:w="8995" w:type="dxa"/>
            <w:gridSpan w:val="4"/>
            <w:tcBorders>
              <w:top w:val="single" w:sz="4" w:space="0" w:color="auto"/>
              <w:left w:val="single" w:sz="4" w:space="0" w:color="auto"/>
              <w:bottom w:val="single" w:sz="4" w:space="0" w:color="auto"/>
              <w:right w:val="single" w:sz="4" w:space="0" w:color="000000"/>
            </w:tcBorders>
            <w:vAlign w:val="center"/>
            <w:hideMark/>
          </w:tcPr>
          <w:p w14:paraId="78BB33DD" w14:textId="77777777" w:rsidR="00221BE2" w:rsidRPr="00E619C8" w:rsidRDefault="00221BE2">
            <w:pPr>
              <w:rPr>
                <w:rFonts w:ascii="Arial" w:hAnsi="Arial" w:cs="Arial"/>
                <w:b/>
                <w:bCs/>
                <w:color w:val="000000"/>
                <w:sz w:val="22"/>
                <w:szCs w:val="22"/>
              </w:rPr>
            </w:pPr>
            <w:r w:rsidRPr="00E619C8">
              <w:rPr>
                <w:rFonts w:ascii="Arial" w:hAnsi="Arial" w:cs="Arial"/>
                <w:b/>
                <w:bCs/>
                <w:color w:val="000000"/>
                <w:sz w:val="22"/>
                <w:szCs w:val="22"/>
              </w:rPr>
              <w:t>Quartile 1</w:t>
            </w:r>
          </w:p>
        </w:tc>
      </w:tr>
      <w:tr w:rsidR="00221BE2" w:rsidRPr="00E619C8" w14:paraId="6F8B3F3E" w14:textId="77777777" w:rsidTr="00221BE2">
        <w:trPr>
          <w:trHeight w:val="3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17D108E"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1</w:t>
            </w:r>
          </w:p>
        </w:tc>
        <w:tc>
          <w:tcPr>
            <w:tcW w:w="4555" w:type="dxa"/>
            <w:tcBorders>
              <w:top w:val="nil"/>
              <w:left w:val="nil"/>
              <w:bottom w:val="single" w:sz="4" w:space="0" w:color="auto"/>
              <w:right w:val="single" w:sz="4" w:space="0" w:color="auto"/>
            </w:tcBorders>
            <w:shd w:val="clear" w:color="000000" w:fill="FFFFFF"/>
            <w:vAlign w:val="center"/>
            <w:hideMark/>
          </w:tcPr>
          <w:p w14:paraId="15F104D6"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Dinas Pekerjaan Umum dan Penataan Ruang (Bidang Bina Marga)</w:t>
            </w:r>
          </w:p>
        </w:tc>
        <w:tc>
          <w:tcPr>
            <w:tcW w:w="2160" w:type="dxa"/>
            <w:tcBorders>
              <w:top w:val="nil"/>
              <w:left w:val="nil"/>
              <w:bottom w:val="single" w:sz="4" w:space="0" w:color="auto"/>
              <w:right w:val="single" w:sz="4" w:space="0" w:color="auto"/>
            </w:tcBorders>
            <w:shd w:val="clear" w:color="000000" w:fill="FFFFFF"/>
            <w:vAlign w:val="center"/>
            <w:hideMark/>
          </w:tcPr>
          <w:p w14:paraId="5A5332C6"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57.02</w:t>
            </w: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44CFB623" w14:textId="77777777" w:rsidR="00221BE2" w:rsidRPr="00E619C8" w:rsidRDefault="00221BE2">
            <w:pPr>
              <w:jc w:val="center"/>
              <w:rPr>
                <w:rFonts w:ascii="Arial" w:hAnsi="Arial" w:cs="Arial"/>
                <w:b/>
                <w:bCs/>
                <w:color w:val="000000"/>
                <w:sz w:val="22"/>
                <w:szCs w:val="22"/>
              </w:rPr>
            </w:pPr>
            <w:r w:rsidRPr="00E619C8">
              <w:rPr>
                <w:rFonts w:ascii="Arial" w:hAnsi="Arial" w:cs="Arial"/>
                <w:b/>
                <w:bCs/>
                <w:color w:val="000000"/>
                <w:sz w:val="22"/>
                <w:szCs w:val="22"/>
              </w:rPr>
              <w:t>52.70</w:t>
            </w:r>
          </w:p>
        </w:tc>
      </w:tr>
      <w:tr w:rsidR="00221BE2" w:rsidRPr="00E619C8" w14:paraId="54C0B004" w14:textId="77777777" w:rsidTr="00221BE2">
        <w:trPr>
          <w:trHeight w:val="372"/>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C062841"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2</w:t>
            </w:r>
          </w:p>
        </w:tc>
        <w:tc>
          <w:tcPr>
            <w:tcW w:w="4555" w:type="dxa"/>
            <w:tcBorders>
              <w:top w:val="nil"/>
              <w:left w:val="nil"/>
              <w:bottom w:val="single" w:sz="4" w:space="0" w:color="auto"/>
              <w:right w:val="single" w:sz="4" w:space="0" w:color="auto"/>
            </w:tcBorders>
            <w:shd w:val="clear" w:color="000000" w:fill="FFFFFF"/>
            <w:vAlign w:val="center"/>
            <w:hideMark/>
          </w:tcPr>
          <w:p w14:paraId="234333D6"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Rumah Sakit Mandalika</w:t>
            </w:r>
          </w:p>
        </w:tc>
        <w:tc>
          <w:tcPr>
            <w:tcW w:w="2160" w:type="dxa"/>
            <w:tcBorders>
              <w:top w:val="nil"/>
              <w:left w:val="nil"/>
              <w:bottom w:val="single" w:sz="4" w:space="0" w:color="auto"/>
              <w:right w:val="single" w:sz="4" w:space="0" w:color="auto"/>
            </w:tcBorders>
            <w:shd w:val="clear" w:color="000000" w:fill="FFFFFF"/>
            <w:vAlign w:val="center"/>
            <w:hideMark/>
          </w:tcPr>
          <w:p w14:paraId="642853A2"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55.4</w:t>
            </w:r>
          </w:p>
        </w:tc>
        <w:tc>
          <w:tcPr>
            <w:tcW w:w="1080" w:type="dxa"/>
            <w:vMerge/>
            <w:tcBorders>
              <w:top w:val="nil"/>
              <w:left w:val="single" w:sz="4" w:space="0" w:color="auto"/>
              <w:bottom w:val="single" w:sz="4" w:space="0" w:color="000000"/>
              <w:right w:val="single" w:sz="4" w:space="0" w:color="auto"/>
            </w:tcBorders>
            <w:vAlign w:val="center"/>
            <w:hideMark/>
          </w:tcPr>
          <w:p w14:paraId="7A1D6536" w14:textId="77777777" w:rsidR="00221BE2" w:rsidRPr="00E619C8" w:rsidRDefault="00221BE2">
            <w:pPr>
              <w:rPr>
                <w:rFonts w:ascii="Arial" w:hAnsi="Arial" w:cs="Arial"/>
                <w:b/>
                <w:bCs/>
                <w:color w:val="000000"/>
                <w:sz w:val="22"/>
                <w:szCs w:val="22"/>
              </w:rPr>
            </w:pPr>
          </w:p>
        </w:tc>
      </w:tr>
      <w:tr w:rsidR="00221BE2" w:rsidRPr="00E619C8" w14:paraId="7860692A" w14:textId="77777777" w:rsidTr="00221BE2">
        <w:trPr>
          <w:trHeight w:val="372"/>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7F2D7CC4"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3</w:t>
            </w:r>
          </w:p>
        </w:tc>
        <w:tc>
          <w:tcPr>
            <w:tcW w:w="4555" w:type="dxa"/>
            <w:tcBorders>
              <w:top w:val="nil"/>
              <w:left w:val="nil"/>
              <w:bottom w:val="single" w:sz="4" w:space="0" w:color="auto"/>
              <w:right w:val="single" w:sz="4" w:space="0" w:color="auto"/>
            </w:tcBorders>
            <w:shd w:val="clear" w:color="000000" w:fill="FFFFFF"/>
            <w:vAlign w:val="center"/>
            <w:hideMark/>
          </w:tcPr>
          <w:p w14:paraId="0F1859F3"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Rumah Sakit Jiwa Mutiara Sukma Provinsi</w:t>
            </w:r>
          </w:p>
        </w:tc>
        <w:tc>
          <w:tcPr>
            <w:tcW w:w="2160" w:type="dxa"/>
            <w:tcBorders>
              <w:top w:val="nil"/>
              <w:left w:val="nil"/>
              <w:bottom w:val="single" w:sz="4" w:space="0" w:color="auto"/>
              <w:right w:val="single" w:sz="4" w:space="0" w:color="auto"/>
            </w:tcBorders>
            <w:shd w:val="clear" w:color="000000" w:fill="FFFFFF"/>
            <w:vAlign w:val="center"/>
            <w:hideMark/>
          </w:tcPr>
          <w:p w14:paraId="343F84BD"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51.79</w:t>
            </w:r>
          </w:p>
        </w:tc>
        <w:tc>
          <w:tcPr>
            <w:tcW w:w="1080" w:type="dxa"/>
            <w:vMerge/>
            <w:tcBorders>
              <w:top w:val="nil"/>
              <w:left w:val="single" w:sz="4" w:space="0" w:color="auto"/>
              <w:bottom w:val="single" w:sz="4" w:space="0" w:color="000000"/>
              <w:right w:val="single" w:sz="4" w:space="0" w:color="auto"/>
            </w:tcBorders>
            <w:vAlign w:val="center"/>
            <w:hideMark/>
          </w:tcPr>
          <w:p w14:paraId="03D408C0" w14:textId="77777777" w:rsidR="00221BE2" w:rsidRPr="00E619C8" w:rsidRDefault="00221BE2">
            <w:pPr>
              <w:rPr>
                <w:rFonts w:ascii="Arial" w:hAnsi="Arial" w:cs="Arial"/>
                <w:b/>
                <w:bCs/>
                <w:color w:val="000000"/>
                <w:sz w:val="22"/>
                <w:szCs w:val="22"/>
              </w:rPr>
            </w:pPr>
          </w:p>
        </w:tc>
      </w:tr>
      <w:tr w:rsidR="00221BE2" w:rsidRPr="00E619C8" w14:paraId="5FC043C8" w14:textId="77777777" w:rsidTr="00221BE2">
        <w:trPr>
          <w:trHeight w:val="3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5AF7209"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4</w:t>
            </w:r>
          </w:p>
        </w:tc>
        <w:tc>
          <w:tcPr>
            <w:tcW w:w="4555" w:type="dxa"/>
            <w:tcBorders>
              <w:top w:val="nil"/>
              <w:left w:val="nil"/>
              <w:bottom w:val="single" w:sz="4" w:space="0" w:color="auto"/>
              <w:right w:val="single" w:sz="4" w:space="0" w:color="auto"/>
            </w:tcBorders>
            <w:shd w:val="clear" w:color="000000" w:fill="FFFFFF"/>
            <w:vAlign w:val="center"/>
            <w:hideMark/>
          </w:tcPr>
          <w:p w14:paraId="56B68DD2"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Dinas Kelautan dan Perikanan</w:t>
            </w:r>
          </w:p>
        </w:tc>
        <w:tc>
          <w:tcPr>
            <w:tcW w:w="2160" w:type="dxa"/>
            <w:tcBorders>
              <w:top w:val="nil"/>
              <w:left w:val="nil"/>
              <w:bottom w:val="single" w:sz="4" w:space="0" w:color="auto"/>
              <w:right w:val="single" w:sz="4" w:space="0" w:color="auto"/>
            </w:tcBorders>
            <w:shd w:val="clear" w:color="000000" w:fill="FFFFFF"/>
            <w:vAlign w:val="center"/>
            <w:hideMark/>
          </w:tcPr>
          <w:p w14:paraId="346BA73A"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51.42</w:t>
            </w:r>
          </w:p>
        </w:tc>
        <w:tc>
          <w:tcPr>
            <w:tcW w:w="1080" w:type="dxa"/>
            <w:vMerge/>
            <w:tcBorders>
              <w:top w:val="nil"/>
              <w:left w:val="single" w:sz="4" w:space="0" w:color="auto"/>
              <w:bottom w:val="single" w:sz="4" w:space="0" w:color="000000"/>
              <w:right w:val="single" w:sz="4" w:space="0" w:color="auto"/>
            </w:tcBorders>
            <w:vAlign w:val="center"/>
            <w:hideMark/>
          </w:tcPr>
          <w:p w14:paraId="20FB322A" w14:textId="77777777" w:rsidR="00221BE2" w:rsidRPr="00E619C8" w:rsidRDefault="00221BE2">
            <w:pPr>
              <w:rPr>
                <w:rFonts w:ascii="Arial" w:hAnsi="Arial" w:cs="Arial"/>
                <w:b/>
                <w:bCs/>
                <w:color w:val="000000"/>
                <w:sz w:val="22"/>
                <w:szCs w:val="22"/>
              </w:rPr>
            </w:pPr>
          </w:p>
        </w:tc>
      </w:tr>
      <w:tr w:rsidR="00221BE2" w:rsidRPr="00E619C8" w14:paraId="00B7C7EF" w14:textId="77777777" w:rsidTr="00221BE2">
        <w:trPr>
          <w:trHeight w:val="3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DF53748"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5</w:t>
            </w:r>
          </w:p>
        </w:tc>
        <w:tc>
          <w:tcPr>
            <w:tcW w:w="4555" w:type="dxa"/>
            <w:tcBorders>
              <w:top w:val="nil"/>
              <w:left w:val="nil"/>
              <w:bottom w:val="single" w:sz="4" w:space="0" w:color="auto"/>
              <w:right w:val="single" w:sz="4" w:space="0" w:color="auto"/>
            </w:tcBorders>
            <w:shd w:val="clear" w:color="000000" w:fill="FFFFFF"/>
            <w:vAlign w:val="center"/>
            <w:hideMark/>
          </w:tcPr>
          <w:p w14:paraId="7356A703"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Dinas Pekerjaan Umum dan Penataan Ruang (Bidang Sumber Daya Air)</w:t>
            </w:r>
          </w:p>
        </w:tc>
        <w:tc>
          <w:tcPr>
            <w:tcW w:w="2160" w:type="dxa"/>
            <w:tcBorders>
              <w:top w:val="nil"/>
              <w:left w:val="nil"/>
              <w:bottom w:val="single" w:sz="4" w:space="0" w:color="auto"/>
              <w:right w:val="single" w:sz="4" w:space="0" w:color="auto"/>
            </w:tcBorders>
            <w:shd w:val="clear" w:color="000000" w:fill="FFFFFF"/>
            <w:vAlign w:val="center"/>
            <w:hideMark/>
          </w:tcPr>
          <w:p w14:paraId="5E52009E"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47.85</w:t>
            </w:r>
          </w:p>
        </w:tc>
        <w:tc>
          <w:tcPr>
            <w:tcW w:w="1080" w:type="dxa"/>
            <w:vMerge/>
            <w:tcBorders>
              <w:top w:val="nil"/>
              <w:left w:val="single" w:sz="4" w:space="0" w:color="auto"/>
              <w:bottom w:val="single" w:sz="4" w:space="0" w:color="000000"/>
              <w:right w:val="single" w:sz="4" w:space="0" w:color="auto"/>
            </w:tcBorders>
            <w:vAlign w:val="center"/>
            <w:hideMark/>
          </w:tcPr>
          <w:p w14:paraId="0AEEA836" w14:textId="77777777" w:rsidR="00221BE2" w:rsidRPr="00E619C8" w:rsidRDefault="00221BE2">
            <w:pPr>
              <w:rPr>
                <w:rFonts w:ascii="Arial" w:hAnsi="Arial" w:cs="Arial"/>
                <w:b/>
                <w:bCs/>
                <w:color w:val="000000"/>
                <w:sz w:val="22"/>
                <w:szCs w:val="22"/>
              </w:rPr>
            </w:pPr>
          </w:p>
        </w:tc>
      </w:tr>
      <w:tr w:rsidR="00221BE2" w:rsidRPr="00E619C8" w14:paraId="20BD93BA" w14:textId="77777777" w:rsidTr="00221BE2">
        <w:trPr>
          <w:trHeight w:val="372"/>
        </w:trPr>
        <w:tc>
          <w:tcPr>
            <w:tcW w:w="8995"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257DC4A9" w14:textId="77777777" w:rsidR="00221BE2" w:rsidRPr="00E619C8" w:rsidRDefault="00221BE2">
            <w:pPr>
              <w:rPr>
                <w:rFonts w:ascii="Arial" w:hAnsi="Arial" w:cs="Arial"/>
                <w:b/>
                <w:bCs/>
                <w:color w:val="000000"/>
                <w:sz w:val="22"/>
                <w:szCs w:val="22"/>
              </w:rPr>
            </w:pPr>
            <w:r w:rsidRPr="00E619C8">
              <w:rPr>
                <w:rFonts w:ascii="Arial" w:hAnsi="Arial" w:cs="Arial"/>
                <w:b/>
                <w:bCs/>
                <w:color w:val="000000"/>
                <w:sz w:val="22"/>
                <w:szCs w:val="22"/>
              </w:rPr>
              <w:t>Quartile 2</w:t>
            </w:r>
          </w:p>
        </w:tc>
      </w:tr>
      <w:tr w:rsidR="00221BE2" w:rsidRPr="00E619C8" w14:paraId="12209794" w14:textId="77777777" w:rsidTr="00221BE2">
        <w:trPr>
          <w:trHeight w:val="372"/>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80C785C"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1</w:t>
            </w:r>
          </w:p>
        </w:tc>
        <w:tc>
          <w:tcPr>
            <w:tcW w:w="4555" w:type="dxa"/>
            <w:tcBorders>
              <w:top w:val="nil"/>
              <w:left w:val="nil"/>
              <w:bottom w:val="single" w:sz="4" w:space="0" w:color="auto"/>
              <w:right w:val="single" w:sz="4" w:space="0" w:color="auto"/>
            </w:tcBorders>
            <w:shd w:val="clear" w:color="000000" w:fill="FFFFFF"/>
            <w:vAlign w:val="center"/>
            <w:hideMark/>
          </w:tcPr>
          <w:p w14:paraId="01722F80"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Dinas Pertanian dan Perkebunan</w:t>
            </w:r>
          </w:p>
        </w:tc>
        <w:tc>
          <w:tcPr>
            <w:tcW w:w="2160" w:type="dxa"/>
            <w:tcBorders>
              <w:top w:val="nil"/>
              <w:left w:val="nil"/>
              <w:bottom w:val="single" w:sz="4" w:space="0" w:color="auto"/>
              <w:right w:val="single" w:sz="4" w:space="0" w:color="auto"/>
            </w:tcBorders>
            <w:shd w:val="clear" w:color="000000" w:fill="FFFFFF"/>
            <w:vAlign w:val="center"/>
            <w:hideMark/>
          </w:tcPr>
          <w:p w14:paraId="1494FF52"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47.23</w:t>
            </w: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33139AA6" w14:textId="77777777" w:rsidR="00221BE2" w:rsidRPr="00E619C8" w:rsidRDefault="00221BE2">
            <w:pPr>
              <w:jc w:val="center"/>
              <w:rPr>
                <w:rFonts w:ascii="Arial" w:hAnsi="Arial" w:cs="Arial"/>
                <w:b/>
                <w:bCs/>
                <w:color w:val="000000"/>
                <w:sz w:val="22"/>
                <w:szCs w:val="22"/>
              </w:rPr>
            </w:pPr>
            <w:r w:rsidRPr="00E619C8">
              <w:rPr>
                <w:rFonts w:ascii="Arial" w:hAnsi="Arial" w:cs="Arial"/>
                <w:b/>
                <w:bCs/>
                <w:color w:val="000000"/>
                <w:sz w:val="22"/>
                <w:szCs w:val="22"/>
              </w:rPr>
              <w:t>40.42</w:t>
            </w:r>
          </w:p>
        </w:tc>
      </w:tr>
      <w:tr w:rsidR="00221BE2" w:rsidRPr="00E619C8" w14:paraId="6885C170" w14:textId="77777777" w:rsidTr="00221BE2">
        <w:trPr>
          <w:trHeight w:val="372"/>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0763CC9E"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2</w:t>
            </w:r>
          </w:p>
        </w:tc>
        <w:tc>
          <w:tcPr>
            <w:tcW w:w="4555" w:type="dxa"/>
            <w:tcBorders>
              <w:top w:val="nil"/>
              <w:left w:val="nil"/>
              <w:bottom w:val="single" w:sz="4" w:space="0" w:color="auto"/>
              <w:right w:val="single" w:sz="4" w:space="0" w:color="auto"/>
            </w:tcBorders>
            <w:shd w:val="clear" w:color="000000" w:fill="FFFFFF"/>
            <w:vAlign w:val="center"/>
            <w:hideMark/>
          </w:tcPr>
          <w:p w14:paraId="1AAD7BF1"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Badan Pengelolaan Pendapatan Daerah</w:t>
            </w:r>
          </w:p>
        </w:tc>
        <w:tc>
          <w:tcPr>
            <w:tcW w:w="2160" w:type="dxa"/>
            <w:tcBorders>
              <w:top w:val="nil"/>
              <w:left w:val="nil"/>
              <w:bottom w:val="single" w:sz="4" w:space="0" w:color="auto"/>
              <w:right w:val="single" w:sz="4" w:space="0" w:color="auto"/>
            </w:tcBorders>
            <w:shd w:val="clear" w:color="000000" w:fill="FFFFFF"/>
            <w:vAlign w:val="center"/>
            <w:hideMark/>
          </w:tcPr>
          <w:p w14:paraId="0C7880AB"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42.38</w:t>
            </w:r>
          </w:p>
        </w:tc>
        <w:tc>
          <w:tcPr>
            <w:tcW w:w="1080" w:type="dxa"/>
            <w:vMerge/>
            <w:tcBorders>
              <w:top w:val="nil"/>
              <w:left w:val="single" w:sz="4" w:space="0" w:color="auto"/>
              <w:bottom w:val="single" w:sz="4" w:space="0" w:color="000000"/>
              <w:right w:val="single" w:sz="4" w:space="0" w:color="auto"/>
            </w:tcBorders>
            <w:vAlign w:val="center"/>
            <w:hideMark/>
          </w:tcPr>
          <w:p w14:paraId="05ECCD1F" w14:textId="77777777" w:rsidR="00221BE2" w:rsidRPr="00E619C8" w:rsidRDefault="00221BE2">
            <w:pPr>
              <w:rPr>
                <w:rFonts w:ascii="Arial" w:hAnsi="Arial" w:cs="Arial"/>
                <w:b/>
                <w:bCs/>
                <w:color w:val="000000"/>
                <w:sz w:val="22"/>
                <w:szCs w:val="22"/>
              </w:rPr>
            </w:pPr>
          </w:p>
        </w:tc>
      </w:tr>
      <w:tr w:rsidR="00221BE2" w:rsidRPr="00E619C8" w14:paraId="31803CEE" w14:textId="77777777" w:rsidTr="00221BE2">
        <w:trPr>
          <w:trHeight w:val="3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6E5ADD75"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3</w:t>
            </w:r>
          </w:p>
        </w:tc>
        <w:tc>
          <w:tcPr>
            <w:tcW w:w="4555" w:type="dxa"/>
            <w:tcBorders>
              <w:top w:val="nil"/>
              <w:left w:val="nil"/>
              <w:bottom w:val="single" w:sz="4" w:space="0" w:color="auto"/>
              <w:right w:val="single" w:sz="4" w:space="0" w:color="auto"/>
            </w:tcBorders>
            <w:shd w:val="clear" w:color="000000" w:fill="FFFFFF"/>
            <w:vAlign w:val="center"/>
            <w:hideMark/>
          </w:tcPr>
          <w:p w14:paraId="2EEECC17"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Dinas Lingkungan Hidup dan Kehutanan</w:t>
            </w:r>
          </w:p>
        </w:tc>
        <w:tc>
          <w:tcPr>
            <w:tcW w:w="2160" w:type="dxa"/>
            <w:tcBorders>
              <w:top w:val="nil"/>
              <w:left w:val="nil"/>
              <w:bottom w:val="single" w:sz="4" w:space="0" w:color="auto"/>
              <w:right w:val="single" w:sz="4" w:space="0" w:color="auto"/>
            </w:tcBorders>
            <w:shd w:val="clear" w:color="000000" w:fill="FFFFFF"/>
            <w:vAlign w:val="center"/>
            <w:hideMark/>
          </w:tcPr>
          <w:p w14:paraId="1A184821"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39.73</w:t>
            </w:r>
          </w:p>
        </w:tc>
        <w:tc>
          <w:tcPr>
            <w:tcW w:w="1080" w:type="dxa"/>
            <w:vMerge/>
            <w:tcBorders>
              <w:top w:val="nil"/>
              <w:left w:val="single" w:sz="4" w:space="0" w:color="auto"/>
              <w:bottom w:val="single" w:sz="4" w:space="0" w:color="000000"/>
              <w:right w:val="single" w:sz="4" w:space="0" w:color="auto"/>
            </w:tcBorders>
            <w:vAlign w:val="center"/>
            <w:hideMark/>
          </w:tcPr>
          <w:p w14:paraId="3093CF30" w14:textId="77777777" w:rsidR="00221BE2" w:rsidRPr="00E619C8" w:rsidRDefault="00221BE2">
            <w:pPr>
              <w:rPr>
                <w:rFonts w:ascii="Arial" w:hAnsi="Arial" w:cs="Arial"/>
                <w:b/>
                <w:bCs/>
                <w:color w:val="000000"/>
                <w:sz w:val="22"/>
                <w:szCs w:val="22"/>
              </w:rPr>
            </w:pPr>
          </w:p>
        </w:tc>
      </w:tr>
      <w:tr w:rsidR="00221BE2" w:rsidRPr="00E619C8" w14:paraId="22E8CC3D" w14:textId="77777777" w:rsidTr="00221BE2">
        <w:trPr>
          <w:trHeight w:val="3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1FAE3DCC"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4</w:t>
            </w:r>
          </w:p>
        </w:tc>
        <w:tc>
          <w:tcPr>
            <w:tcW w:w="4555" w:type="dxa"/>
            <w:tcBorders>
              <w:top w:val="nil"/>
              <w:left w:val="nil"/>
              <w:bottom w:val="single" w:sz="4" w:space="0" w:color="auto"/>
              <w:right w:val="single" w:sz="4" w:space="0" w:color="auto"/>
            </w:tcBorders>
            <w:shd w:val="clear" w:color="000000" w:fill="FFFFFF"/>
            <w:vAlign w:val="center"/>
            <w:hideMark/>
          </w:tcPr>
          <w:p w14:paraId="7A856B96"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Dinas Pendidikan dan Kebudayaan</w:t>
            </w:r>
          </w:p>
        </w:tc>
        <w:tc>
          <w:tcPr>
            <w:tcW w:w="2160" w:type="dxa"/>
            <w:tcBorders>
              <w:top w:val="nil"/>
              <w:left w:val="nil"/>
              <w:bottom w:val="single" w:sz="4" w:space="0" w:color="auto"/>
              <w:right w:val="single" w:sz="4" w:space="0" w:color="auto"/>
            </w:tcBorders>
            <w:shd w:val="clear" w:color="000000" w:fill="FFFFFF"/>
            <w:vAlign w:val="center"/>
            <w:hideMark/>
          </w:tcPr>
          <w:p w14:paraId="6B7D4756"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39.19</w:t>
            </w:r>
          </w:p>
        </w:tc>
        <w:tc>
          <w:tcPr>
            <w:tcW w:w="1080" w:type="dxa"/>
            <w:vMerge/>
            <w:tcBorders>
              <w:top w:val="nil"/>
              <w:left w:val="single" w:sz="4" w:space="0" w:color="auto"/>
              <w:bottom w:val="single" w:sz="4" w:space="0" w:color="000000"/>
              <w:right w:val="single" w:sz="4" w:space="0" w:color="auto"/>
            </w:tcBorders>
            <w:vAlign w:val="center"/>
            <w:hideMark/>
          </w:tcPr>
          <w:p w14:paraId="4026932C" w14:textId="77777777" w:rsidR="00221BE2" w:rsidRPr="00E619C8" w:rsidRDefault="00221BE2">
            <w:pPr>
              <w:rPr>
                <w:rFonts w:ascii="Arial" w:hAnsi="Arial" w:cs="Arial"/>
                <w:b/>
                <w:bCs/>
                <w:color w:val="000000"/>
                <w:sz w:val="22"/>
                <w:szCs w:val="22"/>
              </w:rPr>
            </w:pPr>
          </w:p>
        </w:tc>
      </w:tr>
      <w:tr w:rsidR="00221BE2" w:rsidRPr="00E619C8" w14:paraId="1D75BC11" w14:textId="77777777" w:rsidTr="00221BE2">
        <w:trPr>
          <w:trHeight w:val="3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7EFFE0D"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5</w:t>
            </w:r>
          </w:p>
        </w:tc>
        <w:tc>
          <w:tcPr>
            <w:tcW w:w="4555" w:type="dxa"/>
            <w:tcBorders>
              <w:top w:val="nil"/>
              <w:left w:val="nil"/>
              <w:bottom w:val="single" w:sz="4" w:space="0" w:color="auto"/>
              <w:right w:val="single" w:sz="4" w:space="0" w:color="auto"/>
            </w:tcBorders>
            <w:shd w:val="clear" w:color="000000" w:fill="FFFFFF"/>
            <w:vAlign w:val="center"/>
            <w:hideMark/>
          </w:tcPr>
          <w:p w14:paraId="2CF213E9"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Dinas Perindustrian</w:t>
            </w:r>
          </w:p>
        </w:tc>
        <w:tc>
          <w:tcPr>
            <w:tcW w:w="2160" w:type="dxa"/>
            <w:tcBorders>
              <w:top w:val="nil"/>
              <w:left w:val="nil"/>
              <w:bottom w:val="single" w:sz="4" w:space="0" w:color="auto"/>
              <w:right w:val="single" w:sz="4" w:space="0" w:color="auto"/>
            </w:tcBorders>
            <w:shd w:val="clear" w:color="000000" w:fill="FFFFFF"/>
            <w:vAlign w:val="center"/>
            <w:hideMark/>
          </w:tcPr>
          <w:p w14:paraId="5DF2ADA8"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33.58</w:t>
            </w:r>
          </w:p>
        </w:tc>
        <w:tc>
          <w:tcPr>
            <w:tcW w:w="1080" w:type="dxa"/>
            <w:vMerge/>
            <w:tcBorders>
              <w:top w:val="nil"/>
              <w:left w:val="single" w:sz="4" w:space="0" w:color="auto"/>
              <w:bottom w:val="single" w:sz="4" w:space="0" w:color="000000"/>
              <w:right w:val="single" w:sz="4" w:space="0" w:color="auto"/>
            </w:tcBorders>
            <w:vAlign w:val="center"/>
            <w:hideMark/>
          </w:tcPr>
          <w:p w14:paraId="41FCE1F8" w14:textId="77777777" w:rsidR="00221BE2" w:rsidRPr="00E619C8" w:rsidRDefault="00221BE2">
            <w:pPr>
              <w:rPr>
                <w:rFonts w:ascii="Arial" w:hAnsi="Arial" w:cs="Arial"/>
                <w:b/>
                <w:bCs/>
                <w:color w:val="000000"/>
                <w:sz w:val="22"/>
                <w:szCs w:val="22"/>
              </w:rPr>
            </w:pPr>
          </w:p>
        </w:tc>
      </w:tr>
      <w:tr w:rsidR="00221BE2" w:rsidRPr="00E619C8" w14:paraId="281B7253" w14:textId="77777777" w:rsidTr="00221BE2">
        <w:trPr>
          <w:trHeight w:val="372"/>
        </w:trPr>
        <w:tc>
          <w:tcPr>
            <w:tcW w:w="8995"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48BC8AE7" w14:textId="77777777" w:rsidR="00221BE2" w:rsidRPr="00E619C8" w:rsidRDefault="00221BE2">
            <w:pPr>
              <w:rPr>
                <w:rFonts w:ascii="Arial" w:hAnsi="Arial" w:cs="Arial"/>
                <w:b/>
                <w:bCs/>
                <w:color w:val="000000"/>
                <w:sz w:val="22"/>
                <w:szCs w:val="22"/>
              </w:rPr>
            </w:pPr>
            <w:r w:rsidRPr="00E619C8">
              <w:rPr>
                <w:rFonts w:ascii="Arial" w:hAnsi="Arial" w:cs="Arial"/>
                <w:b/>
                <w:bCs/>
                <w:color w:val="000000"/>
                <w:sz w:val="22"/>
                <w:szCs w:val="22"/>
              </w:rPr>
              <w:t>Quartile 3</w:t>
            </w:r>
          </w:p>
        </w:tc>
      </w:tr>
      <w:tr w:rsidR="00221BE2" w:rsidRPr="00E619C8" w14:paraId="4AA7DA02" w14:textId="77777777" w:rsidTr="00221BE2">
        <w:trPr>
          <w:trHeight w:val="372"/>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4AD15B17"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1</w:t>
            </w:r>
          </w:p>
        </w:tc>
        <w:tc>
          <w:tcPr>
            <w:tcW w:w="4555" w:type="dxa"/>
            <w:tcBorders>
              <w:top w:val="nil"/>
              <w:left w:val="nil"/>
              <w:bottom w:val="single" w:sz="4" w:space="0" w:color="auto"/>
              <w:right w:val="single" w:sz="4" w:space="0" w:color="auto"/>
            </w:tcBorders>
            <w:shd w:val="clear" w:color="000000" w:fill="FFFFFF"/>
            <w:vAlign w:val="center"/>
            <w:hideMark/>
          </w:tcPr>
          <w:p w14:paraId="5CA04BD5"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Dinas Pemuda dan Olahraga</w:t>
            </w:r>
          </w:p>
        </w:tc>
        <w:tc>
          <w:tcPr>
            <w:tcW w:w="2160" w:type="dxa"/>
            <w:tcBorders>
              <w:top w:val="nil"/>
              <w:left w:val="nil"/>
              <w:bottom w:val="single" w:sz="4" w:space="0" w:color="auto"/>
              <w:right w:val="single" w:sz="4" w:space="0" w:color="auto"/>
            </w:tcBorders>
            <w:shd w:val="clear" w:color="000000" w:fill="FFFFFF"/>
            <w:vAlign w:val="center"/>
            <w:hideMark/>
          </w:tcPr>
          <w:p w14:paraId="0C8A195A"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32.93</w:t>
            </w:r>
          </w:p>
        </w:tc>
        <w:tc>
          <w:tcPr>
            <w:tcW w:w="1080" w:type="dxa"/>
            <w:vMerge w:val="restart"/>
            <w:tcBorders>
              <w:top w:val="nil"/>
              <w:left w:val="single" w:sz="4" w:space="0" w:color="auto"/>
              <w:bottom w:val="single" w:sz="4" w:space="0" w:color="000000"/>
              <w:right w:val="single" w:sz="4" w:space="0" w:color="auto"/>
            </w:tcBorders>
            <w:shd w:val="clear" w:color="000000" w:fill="FFFFFF"/>
            <w:vAlign w:val="center"/>
            <w:hideMark/>
          </w:tcPr>
          <w:p w14:paraId="28FB458C" w14:textId="77777777" w:rsidR="00221BE2" w:rsidRPr="00E619C8" w:rsidRDefault="00221BE2">
            <w:pPr>
              <w:jc w:val="center"/>
              <w:rPr>
                <w:rFonts w:ascii="Arial" w:hAnsi="Arial" w:cs="Arial"/>
                <w:b/>
                <w:bCs/>
                <w:color w:val="000000"/>
                <w:sz w:val="22"/>
                <w:szCs w:val="22"/>
              </w:rPr>
            </w:pPr>
            <w:r w:rsidRPr="00E619C8">
              <w:rPr>
                <w:rFonts w:ascii="Arial" w:hAnsi="Arial" w:cs="Arial"/>
                <w:b/>
                <w:bCs/>
                <w:color w:val="000000"/>
                <w:sz w:val="22"/>
                <w:szCs w:val="22"/>
              </w:rPr>
              <w:t>29.16</w:t>
            </w:r>
          </w:p>
        </w:tc>
      </w:tr>
      <w:tr w:rsidR="00221BE2" w:rsidRPr="00E619C8" w14:paraId="3BD44A51" w14:textId="77777777" w:rsidTr="00FC1D48">
        <w:trPr>
          <w:trHeight w:val="3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246369E0"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2</w:t>
            </w:r>
          </w:p>
        </w:tc>
        <w:tc>
          <w:tcPr>
            <w:tcW w:w="4555" w:type="dxa"/>
            <w:tcBorders>
              <w:top w:val="nil"/>
              <w:left w:val="nil"/>
              <w:bottom w:val="single" w:sz="4" w:space="0" w:color="auto"/>
              <w:right w:val="single" w:sz="4" w:space="0" w:color="auto"/>
            </w:tcBorders>
            <w:shd w:val="clear" w:color="000000" w:fill="FFFFFF"/>
            <w:vAlign w:val="center"/>
            <w:hideMark/>
          </w:tcPr>
          <w:p w14:paraId="14E1867A"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Dinas Koperasi Usaha Kecil dan Menengah</w:t>
            </w:r>
          </w:p>
        </w:tc>
        <w:tc>
          <w:tcPr>
            <w:tcW w:w="2160" w:type="dxa"/>
            <w:tcBorders>
              <w:top w:val="nil"/>
              <w:left w:val="nil"/>
              <w:bottom w:val="single" w:sz="4" w:space="0" w:color="auto"/>
              <w:right w:val="single" w:sz="4" w:space="0" w:color="auto"/>
            </w:tcBorders>
            <w:shd w:val="clear" w:color="000000" w:fill="FFFFFF"/>
            <w:vAlign w:val="center"/>
            <w:hideMark/>
          </w:tcPr>
          <w:p w14:paraId="2AF0B077"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32.67</w:t>
            </w:r>
          </w:p>
        </w:tc>
        <w:tc>
          <w:tcPr>
            <w:tcW w:w="1080" w:type="dxa"/>
            <w:vMerge/>
            <w:tcBorders>
              <w:top w:val="nil"/>
              <w:left w:val="single" w:sz="4" w:space="0" w:color="auto"/>
              <w:bottom w:val="single" w:sz="4" w:space="0" w:color="000000"/>
              <w:right w:val="single" w:sz="4" w:space="0" w:color="auto"/>
            </w:tcBorders>
            <w:vAlign w:val="center"/>
            <w:hideMark/>
          </w:tcPr>
          <w:p w14:paraId="6EAE9D45" w14:textId="77777777" w:rsidR="00221BE2" w:rsidRPr="00E619C8" w:rsidRDefault="00221BE2">
            <w:pPr>
              <w:rPr>
                <w:rFonts w:ascii="Arial" w:hAnsi="Arial" w:cs="Arial"/>
                <w:b/>
                <w:bCs/>
                <w:color w:val="000000"/>
                <w:sz w:val="22"/>
                <w:szCs w:val="22"/>
              </w:rPr>
            </w:pPr>
          </w:p>
        </w:tc>
      </w:tr>
      <w:tr w:rsidR="00221BE2" w:rsidRPr="00E619C8" w14:paraId="5BC8DC08" w14:textId="77777777" w:rsidTr="00FC1D48">
        <w:trPr>
          <w:trHeight w:val="384"/>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5A33CEC8"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3</w:t>
            </w:r>
          </w:p>
        </w:tc>
        <w:tc>
          <w:tcPr>
            <w:tcW w:w="4555" w:type="dxa"/>
            <w:tcBorders>
              <w:top w:val="single" w:sz="4" w:space="0" w:color="auto"/>
              <w:left w:val="nil"/>
              <w:bottom w:val="single" w:sz="4" w:space="0" w:color="auto"/>
              <w:right w:val="single" w:sz="4" w:space="0" w:color="auto"/>
            </w:tcBorders>
            <w:shd w:val="clear" w:color="000000" w:fill="FFFFFF"/>
            <w:vAlign w:val="center"/>
            <w:hideMark/>
          </w:tcPr>
          <w:p w14:paraId="1090A1D4"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Dinas Pariwisata</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179D0D52"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30.71</w:t>
            </w:r>
          </w:p>
        </w:tc>
        <w:tc>
          <w:tcPr>
            <w:tcW w:w="1080" w:type="dxa"/>
            <w:vMerge/>
            <w:tcBorders>
              <w:top w:val="nil"/>
              <w:left w:val="single" w:sz="4" w:space="0" w:color="auto"/>
              <w:bottom w:val="single" w:sz="4" w:space="0" w:color="000000"/>
              <w:right w:val="single" w:sz="4" w:space="0" w:color="auto"/>
            </w:tcBorders>
            <w:vAlign w:val="center"/>
            <w:hideMark/>
          </w:tcPr>
          <w:p w14:paraId="7F14CB51" w14:textId="77777777" w:rsidR="00221BE2" w:rsidRPr="00E619C8" w:rsidRDefault="00221BE2">
            <w:pPr>
              <w:rPr>
                <w:rFonts w:ascii="Arial" w:hAnsi="Arial" w:cs="Arial"/>
                <w:b/>
                <w:bCs/>
                <w:color w:val="000000"/>
                <w:sz w:val="22"/>
                <w:szCs w:val="22"/>
              </w:rPr>
            </w:pPr>
          </w:p>
        </w:tc>
      </w:tr>
      <w:tr w:rsidR="00221BE2" w:rsidRPr="00E619C8" w14:paraId="6AABD7A8" w14:textId="77777777" w:rsidTr="00FC1D48">
        <w:trPr>
          <w:trHeight w:val="384"/>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3AE179E"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4</w:t>
            </w:r>
          </w:p>
        </w:tc>
        <w:tc>
          <w:tcPr>
            <w:tcW w:w="4555" w:type="dxa"/>
            <w:tcBorders>
              <w:top w:val="single" w:sz="4" w:space="0" w:color="auto"/>
              <w:left w:val="nil"/>
              <w:bottom w:val="single" w:sz="4" w:space="0" w:color="auto"/>
              <w:right w:val="single" w:sz="4" w:space="0" w:color="auto"/>
            </w:tcBorders>
            <w:shd w:val="clear" w:color="000000" w:fill="FFFFFF"/>
            <w:vAlign w:val="center"/>
            <w:hideMark/>
          </w:tcPr>
          <w:p w14:paraId="08CCD3C8"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Dinas Perumahan dan Permukiman</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34E548CB"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24.8</w:t>
            </w:r>
          </w:p>
        </w:tc>
        <w:tc>
          <w:tcPr>
            <w:tcW w:w="1080" w:type="dxa"/>
            <w:vMerge/>
            <w:tcBorders>
              <w:top w:val="nil"/>
              <w:left w:val="single" w:sz="4" w:space="0" w:color="auto"/>
              <w:bottom w:val="single" w:sz="4" w:space="0" w:color="000000"/>
              <w:right w:val="single" w:sz="4" w:space="0" w:color="auto"/>
            </w:tcBorders>
            <w:vAlign w:val="center"/>
            <w:hideMark/>
          </w:tcPr>
          <w:p w14:paraId="5B2662DE" w14:textId="77777777" w:rsidR="00221BE2" w:rsidRPr="00E619C8" w:rsidRDefault="00221BE2">
            <w:pPr>
              <w:rPr>
                <w:rFonts w:ascii="Arial" w:hAnsi="Arial" w:cs="Arial"/>
                <w:b/>
                <w:bCs/>
                <w:color w:val="000000"/>
                <w:sz w:val="22"/>
                <w:szCs w:val="22"/>
              </w:rPr>
            </w:pPr>
          </w:p>
        </w:tc>
      </w:tr>
      <w:tr w:rsidR="00221BE2" w:rsidRPr="00E619C8" w14:paraId="01F445D0" w14:textId="77777777" w:rsidTr="00FC1D48">
        <w:trPr>
          <w:trHeight w:val="384"/>
        </w:trPr>
        <w:tc>
          <w:tcPr>
            <w:tcW w:w="1200" w:type="dxa"/>
            <w:tcBorders>
              <w:top w:val="nil"/>
              <w:left w:val="single" w:sz="4" w:space="0" w:color="auto"/>
              <w:bottom w:val="single" w:sz="4" w:space="0" w:color="auto"/>
              <w:right w:val="single" w:sz="4" w:space="0" w:color="auto"/>
            </w:tcBorders>
            <w:shd w:val="clear" w:color="000000" w:fill="FFFFFF"/>
            <w:noWrap/>
            <w:vAlign w:val="center"/>
            <w:hideMark/>
          </w:tcPr>
          <w:p w14:paraId="5D7D2F48"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5</w:t>
            </w:r>
          </w:p>
        </w:tc>
        <w:tc>
          <w:tcPr>
            <w:tcW w:w="4555" w:type="dxa"/>
            <w:tcBorders>
              <w:top w:val="nil"/>
              <w:left w:val="nil"/>
              <w:bottom w:val="single" w:sz="4" w:space="0" w:color="auto"/>
              <w:right w:val="single" w:sz="4" w:space="0" w:color="auto"/>
            </w:tcBorders>
            <w:shd w:val="clear" w:color="000000" w:fill="FFFFFF"/>
            <w:vAlign w:val="center"/>
            <w:hideMark/>
          </w:tcPr>
          <w:p w14:paraId="268BC289"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Rumah Sakit H. L. Manambai Abdul Kadir</w:t>
            </w:r>
          </w:p>
        </w:tc>
        <w:tc>
          <w:tcPr>
            <w:tcW w:w="2160" w:type="dxa"/>
            <w:tcBorders>
              <w:top w:val="nil"/>
              <w:left w:val="nil"/>
              <w:bottom w:val="single" w:sz="4" w:space="0" w:color="auto"/>
              <w:right w:val="single" w:sz="4" w:space="0" w:color="auto"/>
            </w:tcBorders>
            <w:shd w:val="clear" w:color="000000" w:fill="FFFFFF"/>
            <w:vAlign w:val="center"/>
            <w:hideMark/>
          </w:tcPr>
          <w:p w14:paraId="5AB2D264"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24.69</w:t>
            </w:r>
          </w:p>
        </w:tc>
        <w:tc>
          <w:tcPr>
            <w:tcW w:w="1080" w:type="dxa"/>
            <w:vMerge/>
            <w:tcBorders>
              <w:top w:val="nil"/>
              <w:left w:val="single" w:sz="4" w:space="0" w:color="auto"/>
              <w:bottom w:val="single" w:sz="4" w:space="0" w:color="auto"/>
              <w:right w:val="single" w:sz="4" w:space="0" w:color="auto"/>
            </w:tcBorders>
            <w:vAlign w:val="center"/>
            <w:hideMark/>
          </w:tcPr>
          <w:p w14:paraId="193E3141" w14:textId="77777777" w:rsidR="00221BE2" w:rsidRPr="00E619C8" w:rsidRDefault="00221BE2">
            <w:pPr>
              <w:rPr>
                <w:rFonts w:ascii="Arial" w:hAnsi="Arial" w:cs="Arial"/>
                <w:b/>
                <w:bCs/>
                <w:color w:val="000000"/>
                <w:sz w:val="22"/>
                <w:szCs w:val="22"/>
              </w:rPr>
            </w:pPr>
          </w:p>
        </w:tc>
      </w:tr>
      <w:tr w:rsidR="00221BE2" w:rsidRPr="00E619C8" w14:paraId="5E1AFA28" w14:textId="77777777" w:rsidTr="00FC1D48">
        <w:trPr>
          <w:trHeight w:val="384"/>
        </w:trPr>
        <w:tc>
          <w:tcPr>
            <w:tcW w:w="8995" w:type="dxa"/>
            <w:gridSpan w:val="4"/>
            <w:tcBorders>
              <w:top w:val="single" w:sz="4" w:space="0" w:color="auto"/>
              <w:left w:val="single" w:sz="4" w:space="0" w:color="auto"/>
              <w:bottom w:val="single" w:sz="4" w:space="0" w:color="auto"/>
              <w:right w:val="single" w:sz="4" w:space="0" w:color="000000"/>
            </w:tcBorders>
            <w:shd w:val="clear" w:color="000000" w:fill="FFFFFF"/>
            <w:vAlign w:val="center"/>
            <w:hideMark/>
          </w:tcPr>
          <w:p w14:paraId="1326DCB6" w14:textId="77777777" w:rsidR="00221BE2" w:rsidRPr="00E619C8" w:rsidRDefault="00221BE2">
            <w:pPr>
              <w:rPr>
                <w:rFonts w:ascii="Arial" w:hAnsi="Arial" w:cs="Arial"/>
                <w:b/>
                <w:bCs/>
                <w:color w:val="000000"/>
                <w:sz w:val="22"/>
                <w:szCs w:val="22"/>
              </w:rPr>
            </w:pPr>
            <w:r w:rsidRPr="00E619C8">
              <w:rPr>
                <w:rFonts w:ascii="Arial" w:hAnsi="Arial" w:cs="Arial"/>
                <w:b/>
                <w:bCs/>
                <w:color w:val="000000"/>
                <w:sz w:val="22"/>
                <w:szCs w:val="22"/>
              </w:rPr>
              <w:t>Quartile 4</w:t>
            </w:r>
          </w:p>
        </w:tc>
      </w:tr>
      <w:tr w:rsidR="00221BE2" w:rsidRPr="00E619C8" w14:paraId="42D337BB" w14:textId="77777777" w:rsidTr="00FC1D48">
        <w:trPr>
          <w:trHeight w:val="384"/>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451DC5F0"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1</w:t>
            </w:r>
          </w:p>
        </w:tc>
        <w:tc>
          <w:tcPr>
            <w:tcW w:w="4555" w:type="dxa"/>
            <w:tcBorders>
              <w:top w:val="single" w:sz="4" w:space="0" w:color="auto"/>
              <w:left w:val="nil"/>
              <w:bottom w:val="single" w:sz="4" w:space="0" w:color="auto"/>
              <w:right w:val="single" w:sz="4" w:space="0" w:color="auto"/>
            </w:tcBorders>
            <w:shd w:val="clear" w:color="000000" w:fill="FFFFFF"/>
            <w:vAlign w:val="center"/>
            <w:hideMark/>
          </w:tcPr>
          <w:p w14:paraId="223F5FC8"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Sekretariat Dewan Perwakilan Rakyat Daerah</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744A3C17"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23.78</w:t>
            </w:r>
          </w:p>
        </w:tc>
        <w:tc>
          <w:tcPr>
            <w:tcW w:w="1080" w:type="dxa"/>
            <w:vMerge w:val="restart"/>
            <w:tcBorders>
              <w:top w:val="single" w:sz="4" w:space="0" w:color="auto"/>
              <w:left w:val="single" w:sz="4" w:space="0" w:color="auto"/>
              <w:bottom w:val="single" w:sz="4" w:space="0" w:color="auto"/>
              <w:right w:val="single" w:sz="4" w:space="0" w:color="auto"/>
            </w:tcBorders>
            <w:shd w:val="clear" w:color="000000" w:fill="FFFFFF"/>
            <w:vAlign w:val="center"/>
            <w:hideMark/>
          </w:tcPr>
          <w:p w14:paraId="5EF046A6" w14:textId="77777777" w:rsidR="00221BE2" w:rsidRPr="00E619C8" w:rsidRDefault="00221BE2">
            <w:pPr>
              <w:jc w:val="center"/>
              <w:rPr>
                <w:rFonts w:ascii="Arial" w:hAnsi="Arial" w:cs="Arial"/>
                <w:b/>
                <w:bCs/>
                <w:color w:val="000000"/>
                <w:sz w:val="22"/>
                <w:szCs w:val="22"/>
              </w:rPr>
            </w:pPr>
            <w:r w:rsidRPr="00E619C8">
              <w:rPr>
                <w:rFonts w:ascii="Arial" w:hAnsi="Arial" w:cs="Arial"/>
                <w:b/>
                <w:bCs/>
                <w:color w:val="000000"/>
                <w:sz w:val="22"/>
                <w:szCs w:val="22"/>
              </w:rPr>
              <w:t>21.66</w:t>
            </w:r>
          </w:p>
        </w:tc>
      </w:tr>
      <w:tr w:rsidR="00221BE2" w:rsidRPr="00E619C8" w14:paraId="4D8FA7CC" w14:textId="77777777" w:rsidTr="00FC1D48">
        <w:trPr>
          <w:trHeight w:val="288"/>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3C0DCA37"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2</w:t>
            </w:r>
          </w:p>
        </w:tc>
        <w:tc>
          <w:tcPr>
            <w:tcW w:w="4555" w:type="dxa"/>
            <w:tcBorders>
              <w:top w:val="single" w:sz="4" w:space="0" w:color="auto"/>
              <w:left w:val="nil"/>
              <w:bottom w:val="single" w:sz="4" w:space="0" w:color="auto"/>
              <w:right w:val="single" w:sz="4" w:space="0" w:color="auto"/>
            </w:tcBorders>
            <w:shd w:val="clear" w:color="000000" w:fill="FFFFFF"/>
            <w:vAlign w:val="center"/>
            <w:hideMark/>
          </w:tcPr>
          <w:p w14:paraId="78136C2E"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RSUD NTB</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1C2A1680"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23.2</w:t>
            </w:r>
          </w:p>
        </w:tc>
        <w:tc>
          <w:tcPr>
            <w:tcW w:w="1080" w:type="dxa"/>
            <w:vMerge/>
            <w:tcBorders>
              <w:top w:val="single" w:sz="4" w:space="0" w:color="auto"/>
              <w:left w:val="single" w:sz="4" w:space="0" w:color="auto"/>
              <w:bottom w:val="single" w:sz="4" w:space="0" w:color="000000"/>
              <w:right w:val="single" w:sz="4" w:space="0" w:color="auto"/>
            </w:tcBorders>
            <w:vAlign w:val="center"/>
            <w:hideMark/>
          </w:tcPr>
          <w:p w14:paraId="15ADF4A9" w14:textId="77777777" w:rsidR="00221BE2" w:rsidRPr="00E619C8" w:rsidRDefault="00221BE2">
            <w:pPr>
              <w:rPr>
                <w:rFonts w:ascii="Arial" w:hAnsi="Arial" w:cs="Arial"/>
                <w:b/>
                <w:bCs/>
                <w:color w:val="000000"/>
                <w:sz w:val="22"/>
                <w:szCs w:val="22"/>
              </w:rPr>
            </w:pPr>
          </w:p>
        </w:tc>
      </w:tr>
      <w:tr w:rsidR="00221BE2" w:rsidRPr="00E619C8" w14:paraId="570D1229" w14:textId="77777777" w:rsidTr="00FC1D48">
        <w:trPr>
          <w:trHeight w:val="384"/>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1B2523FD"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3</w:t>
            </w:r>
          </w:p>
        </w:tc>
        <w:tc>
          <w:tcPr>
            <w:tcW w:w="4555" w:type="dxa"/>
            <w:tcBorders>
              <w:top w:val="single" w:sz="4" w:space="0" w:color="auto"/>
              <w:left w:val="nil"/>
              <w:bottom w:val="single" w:sz="4" w:space="0" w:color="auto"/>
              <w:right w:val="single" w:sz="4" w:space="0" w:color="auto"/>
            </w:tcBorders>
            <w:shd w:val="clear" w:color="000000" w:fill="FFFFFF"/>
            <w:vAlign w:val="center"/>
            <w:hideMark/>
          </w:tcPr>
          <w:p w14:paraId="7AE26371"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Dinas Perpustakaan dan Kearsipan</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5A0DF1A4"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21</w:t>
            </w:r>
          </w:p>
        </w:tc>
        <w:tc>
          <w:tcPr>
            <w:tcW w:w="1080" w:type="dxa"/>
            <w:vMerge/>
            <w:tcBorders>
              <w:top w:val="nil"/>
              <w:left w:val="single" w:sz="4" w:space="0" w:color="auto"/>
              <w:bottom w:val="single" w:sz="4" w:space="0" w:color="000000"/>
              <w:right w:val="single" w:sz="4" w:space="0" w:color="auto"/>
            </w:tcBorders>
            <w:vAlign w:val="center"/>
            <w:hideMark/>
          </w:tcPr>
          <w:p w14:paraId="63FC09B3" w14:textId="77777777" w:rsidR="00221BE2" w:rsidRPr="00E619C8" w:rsidRDefault="00221BE2">
            <w:pPr>
              <w:rPr>
                <w:rFonts w:ascii="Arial" w:hAnsi="Arial" w:cs="Arial"/>
                <w:b/>
                <w:bCs/>
                <w:color w:val="000000"/>
                <w:sz w:val="22"/>
                <w:szCs w:val="22"/>
              </w:rPr>
            </w:pPr>
          </w:p>
        </w:tc>
      </w:tr>
      <w:tr w:rsidR="00221BE2" w:rsidRPr="00E619C8" w14:paraId="3AAD3386" w14:textId="77777777" w:rsidTr="00FC1D48">
        <w:trPr>
          <w:trHeight w:val="888"/>
        </w:trPr>
        <w:tc>
          <w:tcPr>
            <w:tcW w:w="1200" w:type="dxa"/>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B7E8B95"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4</w:t>
            </w:r>
          </w:p>
        </w:tc>
        <w:tc>
          <w:tcPr>
            <w:tcW w:w="4555" w:type="dxa"/>
            <w:tcBorders>
              <w:top w:val="single" w:sz="4" w:space="0" w:color="auto"/>
              <w:left w:val="nil"/>
              <w:bottom w:val="single" w:sz="4" w:space="0" w:color="auto"/>
              <w:right w:val="single" w:sz="4" w:space="0" w:color="auto"/>
            </w:tcBorders>
            <w:shd w:val="clear" w:color="000000" w:fill="FFFFFF"/>
            <w:vAlign w:val="center"/>
            <w:hideMark/>
          </w:tcPr>
          <w:p w14:paraId="30BDA10E" w14:textId="77777777" w:rsidR="00221BE2" w:rsidRPr="00E619C8" w:rsidRDefault="00221BE2">
            <w:pPr>
              <w:rPr>
                <w:rFonts w:ascii="Arial" w:hAnsi="Arial" w:cs="Arial"/>
                <w:color w:val="000000"/>
                <w:sz w:val="22"/>
                <w:szCs w:val="22"/>
              </w:rPr>
            </w:pPr>
            <w:r w:rsidRPr="00E619C8">
              <w:rPr>
                <w:rFonts w:ascii="Arial" w:hAnsi="Arial" w:cs="Arial"/>
                <w:color w:val="000000"/>
                <w:sz w:val="22"/>
                <w:szCs w:val="22"/>
              </w:rPr>
              <w:t>Dinas Pekerjaan Umum dan Penataan Ruang (Bidang Cipta Karya)</w:t>
            </w:r>
          </w:p>
        </w:tc>
        <w:tc>
          <w:tcPr>
            <w:tcW w:w="2160" w:type="dxa"/>
            <w:tcBorders>
              <w:top w:val="single" w:sz="4" w:space="0" w:color="auto"/>
              <w:left w:val="nil"/>
              <w:bottom w:val="single" w:sz="4" w:space="0" w:color="auto"/>
              <w:right w:val="single" w:sz="4" w:space="0" w:color="auto"/>
            </w:tcBorders>
            <w:shd w:val="clear" w:color="000000" w:fill="FFFFFF"/>
            <w:vAlign w:val="center"/>
            <w:hideMark/>
          </w:tcPr>
          <w:p w14:paraId="75D86C53" w14:textId="77777777" w:rsidR="00221BE2" w:rsidRPr="00E619C8" w:rsidRDefault="00221BE2">
            <w:pPr>
              <w:jc w:val="center"/>
              <w:rPr>
                <w:rFonts w:ascii="Arial" w:hAnsi="Arial" w:cs="Arial"/>
                <w:color w:val="000000"/>
                <w:sz w:val="22"/>
                <w:szCs w:val="22"/>
              </w:rPr>
            </w:pPr>
            <w:r w:rsidRPr="00E619C8">
              <w:rPr>
                <w:rFonts w:ascii="Arial" w:hAnsi="Arial" w:cs="Arial"/>
                <w:color w:val="000000"/>
                <w:sz w:val="22"/>
                <w:szCs w:val="22"/>
              </w:rPr>
              <w:t>18.65</w:t>
            </w:r>
          </w:p>
        </w:tc>
        <w:tc>
          <w:tcPr>
            <w:tcW w:w="1080" w:type="dxa"/>
            <w:vMerge/>
            <w:tcBorders>
              <w:top w:val="nil"/>
              <w:left w:val="single" w:sz="4" w:space="0" w:color="auto"/>
              <w:bottom w:val="single" w:sz="4" w:space="0" w:color="000000"/>
              <w:right w:val="single" w:sz="4" w:space="0" w:color="auto"/>
            </w:tcBorders>
            <w:vAlign w:val="center"/>
            <w:hideMark/>
          </w:tcPr>
          <w:p w14:paraId="0AC0AEFB" w14:textId="77777777" w:rsidR="00221BE2" w:rsidRPr="00E619C8" w:rsidRDefault="00221BE2">
            <w:pPr>
              <w:rPr>
                <w:rFonts w:ascii="Arial" w:hAnsi="Arial" w:cs="Arial"/>
                <w:b/>
                <w:bCs/>
                <w:color w:val="000000"/>
                <w:sz w:val="22"/>
                <w:szCs w:val="22"/>
              </w:rPr>
            </w:pPr>
          </w:p>
        </w:tc>
      </w:tr>
    </w:tbl>
    <w:p w14:paraId="13F15CE9" w14:textId="773FE5DE" w:rsidR="002033A5" w:rsidRPr="00E619C8" w:rsidRDefault="00E113EC">
      <w:pPr>
        <w:spacing w:before="240" w:after="240" w:line="300" w:lineRule="auto"/>
        <w:jc w:val="center"/>
        <w:rPr>
          <w:rFonts w:ascii="Arial" w:eastAsia="Arial" w:hAnsi="Arial" w:cs="Arial"/>
          <w:sz w:val="20"/>
          <w:szCs w:val="20"/>
        </w:rPr>
      </w:pPr>
      <w:r w:rsidRPr="00E619C8">
        <w:rPr>
          <w:rFonts w:ascii="Arial" w:eastAsia="Arial" w:hAnsi="Arial" w:cs="Arial"/>
          <w:sz w:val="20"/>
          <w:szCs w:val="20"/>
        </w:rPr>
        <w:t xml:space="preserve">Table </w:t>
      </w:r>
      <w:r w:rsidR="00DD0F1A" w:rsidRPr="00E619C8">
        <w:rPr>
          <w:rFonts w:ascii="Arial" w:eastAsia="Arial" w:hAnsi="Arial" w:cs="Arial"/>
          <w:sz w:val="20"/>
          <w:szCs w:val="20"/>
        </w:rPr>
        <w:t>6</w:t>
      </w:r>
      <w:r w:rsidRPr="00E619C8">
        <w:rPr>
          <w:rFonts w:ascii="Arial" w:eastAsia="Arial" w:hAnsi="Arial" w:cs="Arial"/>
          <w:sz w:val="20"/>
          <w:szCs w:val="20"/>
        </w:rPr>
        <w:t>. ITI Score Distribution by Quartiles</w:t>
      </w:r>
    </w:p>
    <w:p w14:paraId="2D861E47" w14:textId="7777777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The quartile analysis reveals a steady and pronounced decline in average ITI scores from Quartile 1 to Quartile 4. The difference between the highest and lowest quartiles exceeds 30 points, indicating that stronger transparency practices are concentrated among a relatively small group of PEs. The lower quartiles reflect more limited capacities, weaker participation mechanisms, and less comprehensive disclosure practices. This distribution underscores that improvements in transparency are progressing at different speeds across PEs and that targeted efforts are required to support entities positioned in the lower quartiles.</w:t>
      </w:r>
    </w:p>
    <w:p w14:paraId="0D445626" w14:textId="0F65283D" w:rsidR="002033A5" w:rsidRPr="00E619C8" w:rsidRDefault="00E113EC">
      <w:pPr>
        <w:spacing w:before="240" w:after="240" w:line="300" w:lineRule="auto"/>
        <w:jc w:val="both"/>
        <w:rPr>
          <w:rFonts w:ascii="Arial" w:eastAsia="Arial" w:hAnsi="Arial" w:cs="Arial"/>
          <w:b/>
          <w:bCs/>
          <w:color w:val="C00000"/>
          <w:sz w:val="22"/>
          <w:szCs w:val="22"/>
        </w:rPr>
      </w:pPr>
      <w:r w:rsidRPr="00E619C8">
        <w:rPr>
          <w:rFonts w:ascii="Arial" w:eastAsia="Arial" w:hAnsi="Arial" w:cs="Arial"/>
          <w:b/>
          <w:bCs/>
          <w:color w:val="C00000"/>
          <w:sz w:val="22"/>
          <w:szCs w:val="22"/>
        </w:rPr>
        <w:t xml:space="preserve">3.2.1 Results by procuring </w:t>
      </w:r>
      <w:r w:rsidR="00214C90">
        <w:rPr>
          <w:rFonts w:ascii="Arial" w:eastAsia="Arial" w:hAnsi="Arial" w:cs="Arial"/>
          <w:b/>
          <w:bCs/>
          <w:color w:val="C00000"/>
          <w:sz w:val="22"/>
          <w:szCs w:val="22"/>
        </w:rPr>
        <w:t>entities'</w:t>
      </w:r>
      <w:r w:rsidRPr="00E619C8">
        <w:rPr>
          <w:rFonts w:ascii="Arial" w:eastAsia="Arial" w:hAnsi="Arial" w:cs="Arial"/>
          <w:b/>
          <w:bCs/>
          <w:color w:val="C00000"/>
          <w:sz w:val="22"/>
          <w:szCs w:val="22"/>
        </w:rPr>
        <w:t xml:space="preserve"> budget</w:t>
      </w:r>
    </w:p>
    <w:p w14:paraId="7CE83506" w14:textId="6D172ED5" w:rsidR="001952D2"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To further examine whether budget size is associated with transparency performance, project budgets were grouped into three analytical categories: Low (IDR 0–10 billion), Medium (&gt;10–50 billion), and High (&gt;50 billion). These groupings were developed based on the observed distribution of project values within the dataset. The average ITI score was calculated for each group.</w:t>
      </w:r>
    </w:p>
    <w:tbl>
      <w:tblPr>
        <w:tblW w:w="8995" w:type="dxa"/>
        <w:tblLook w:val="04A0" w:firstRow="1" w:lastRow="0" w:firstColumn="1" w:lastColumn="0" w:noHBand="0" w:noVBand="1"/>
      </w:tblPr>
      <w:tblGrid>
        <w:gridCol w:w="3055"/>
        <w:gridCol w:w="3060"/>
        <w:gridCol w:w="1440"/>
        <w:gridCol w:w="1440"/>
      </w:tblGrid>
      <w:tr w:rsidR="00221BE2" w:rsidRPr="00E619C8" w14:paraId="34F2735F" w14:textId="77777777" w:rsidTr="00FC1D48">
        <w:trPr>
          <w:trHeight w:val="288"/>
          <w:tblHeader/>
        </w:trPr>
        <w:tc>
          <w:tcPr>
            <w:tcW w:w="3055"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768E8BBC" w14:textId="77777777" w:rsidR="00221BE2" w:rsidRPr="00E619C8" w:rsidRDefault="00221BE2" w:rsidP="00FC1D48">
            <w:pPr>
              <w:spacing w:line="276" w:lineRule="auto"/>
              <w:jc w:val="center"/>
              <w:rPr>
                <w:rFonts w:ascii="Arial" w:hAnsi="Arial" w:cs="Arial"/>
                <w:b/>
                <w:bCs/>
                <w:color w:val="FFFFFF"/>
                <w:sz w:val="22"/>
                <w:szCs w:val="22"/>
              </w:rPr>
            </w:pPr>
            <w:r w:rsidRPr="00E619C8">
              <w:rPr>
                <w:rFonts w:ascii="Arial" w:hAnsi="Arial" w:cs="Arial"/>
                <w:b/>
                <w:bCs/>
                <w:color w:val="FFFFFF"/>
                <w:sz w:val="22"/>
                <w:szCs w:val="22"/>
              </w:rPr>
              <w:t>Procuring Entity</w:t>
            </w:r>
          </w:p>
        </w:tc>
        <w:tc>
          <w:tcPr>
            <w:tcW w:w="3060" w:type="dxa"/>
            <w:tcBorders>
              <w:top w:val="single" w:sz="4" w:space="0" w:color="auto"/>
              <w:left w:val="nil"/>
              <w:bottom w:val="single" w:sz="4" w:space="0" w:color="auto"/>
              <w:right w:val="single" w:sz="4" w:space="0" w:color="auto"/>
            </w:tcBorders>
            <w:shd w:val="clear" w:color="auto" w:fill="C00000"/>
            <w:noWrap/>
            <w:vAlign w:val="center"/>
            <w:hideMark/>
          </w:tcPr>
          <w:p w14:paraId="55939DA3" w14:textId="77777777" w:rsidR="00221BE2" w:rsidRPr="00E619C8" w:rsidRDefault="00221BE2" w:rsidP="00FC1D48">
            <w:pPr>
              <w:spacing w:line="276" w:lineRule="auto"/>
              <w:jc w:val="center"/>
              <w:rPr>
                <w:rFonts w:ascii="Arial" w:hAnsi="Arial" w:cs="Arial"/>
                <w:b/>
                <w:bCs/>
                <w:color w:val="FFFFFF"/>
                <w:sz w:val="22"/>
                <w:szCs w:val="22"/>
              </w:rPr>
            </w:pPr>
            <w:r w:rsidRPr="00E619C8">
              <w:rPr>
                <w:rFonts w:ascii="Arial" w:hAnsi="Arial" w:cs="Arial"/>
                <w:b/>
                <w:bCs/>
                <w:color w:val="FFFFFF"/>
                <w:sz w:val="22"/>
                <w:szCs w:val="22"/>
              </w:rPr>
              <w:t>Sum of Budget</w:t>
            </w:r>
          </w:p>
        </w:tc>
        <w:tc>
          <w:tcPr>
            <w:tcW w:w="1440" w:type="dxa"/>
            <w:tcBorders>
              <w:top w:val="single" w:sz="4" w:space="0" w:color="auto"/>
              <w:left w:val="nil"/>
              <w:bottom w:val="single" w:sz="4" w:space="0" w:color="auto"/>
              <w:right w:val="single" w:sz="4" w:space="0" w:color="auto"/>
            </w:tcBorders>
            <w:shd w:val="clear" w:color="auto" w:fill="C00000"/>
            <w:noWrap/>
            <w:vAlign w:val="center"/>
            <w:hideMark/>
          </w:tcPr>
          <w:p w14:paraId="1B135740" w14:textId="77777777" w:rsidR="00221BE2" w:rsidRPr="00E619C8" w:rsidRDefault="00221BE2" w:rsidP="00FC1D48">
            <w:pPr>
              <w:spacing w:line="276" w:lineRule="auto"/>
              <w:jc w:val="center"/>
              <w:rPr>
                <w:rFonts w:ascii="Arial" w:hAnsi="Arial" w:cs="Arial"/>
                <w:b/>
                <w:bCs/>
                <w:color w:val="FFFFFF"/>
                <w:sz w:val="22"/>
                <w:szCs w:val="22"/>
              </w:rPr>
            </w:pPr>
            <w:r w:rsidRPr="00E619C8">
              <w:rPr>
                <w:rFonts w:ascii="Arial" w:hAnsi="Arial" w:cs="Arial"/>
                <w:b/>
                <w:bCs/>
                <w:color w:val="FFFFFF"/>
                <w:sz w:val="22"/>
                <w:szCs w:val="22"/>
              </w:rPr>
              <w:t>Budget Category</w:t>
            </w:r>
          </w:p>
        </w:tc>
        <w:tc>
          <w:tcPr>
            <w:tcW w:w="1440" w:type="dxa"/>
            <w:tcBorders>
              <w:top w:val="single" w:sz="4" w:space="0" w:color="auto"/>
              <w:left w:val="nil"/>
              <w:bottom w:val="single" w:sz="4" w:space="0" w:color="auto"/>
              <w:right w:val="single" w:sz="4" w:space="0" w:color="auto"/>
            </w:tcBorders>
            <w:shd w:val="clear" w:color="auto" w:fill="C00000"/>
            <w:noWrap/>
            <w:vAlign w:val="center"/>
            <w:hideMark/>
          </w:tcPr>
          <w:p w14:paraId="5006EE58" w14:textId="77777777" w:rsidR="00221BE2" w:rsidRPr="00E619C8" w:rsidRDefault="00221BE2" w:rsidP="00FC1D48">
            <w:pPr>
              <w:spacing w:line="276" w:lineRule="auto"/>
              <w:jc w:val="center"/>
              <w:rPr>
                <w:rFonts w:ascii="Arial" w:hAnsi="Arial" w:cs="Arial"/>
                <w:b/>
                <w:bCs/>
                <w:color w:val="FFFFFF"/>
                <w:sz w:val="22"/>
                <w:szCs w:val="22"/>
              </w:rPr>
            </w:pPr>
            <w:r w:rsidRPr="00E619C8">
              <w:rPr>
                <w:rFonts w:ascii="Arial" w:hAnsi="Arial" w:cs="Arial"/>
                <w:b/>
                <w:bCs/>
                <w:color w:val="FFFFFF"/>
                <w:sz w:val="22"/>
                <w:szCs w:val="22"/>
              </w:rPr>
              <w:t>ITI Score</w:t>
            </w:r>
          </w:p>
        </w:tc>
      </w:tr>
      <w:tr w:rsidR="00221BE2" w:rsidRPr="00E619C8" w14:paraId="731AE92B" w14:textId="77777777" w:rsidTr="00221BE2">
        <w:trPr>
          <w:trHeight w:val="288"/>
        </w:trPr>
        <w:tc>
          <w:tcPr>
            <w:tcW w:w="3055" w:type="dxa"/>
            <w:tcBorders>
              <w:top w:val="nil"/>
              <w:left w:val="single" w:sz="4" w:space="0" w:color="auto"/>
              <w:bottom w:val="single" w:sz="4" w:space="0" w:color="auto"/>
              <w:right w:val="single" w:sz="4" w:space="0" w:color="auto"/>
            </w:tcBorders>
            <w:shd w:val="clear" w:color="000000" w:fill="FFFFFF"/>
            <w:noWrap/>
            <w:vAlign w:val="bottom"/>
            <w:hideMark/>
          </w:tcPr>
          <w:p w14:paraId="5440CF57"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Badan Pengelolaan Pendapatan Daerah</w:t>
            </w:r>
          </w:p>
        </w:tc>
        <w:tc>
          <w:tcPr>
            <w:tcW w:w="3060" w:type="dxa"/>
            <w:tcBorders>
              <w:top w:val="nil"/>
              <w:left w:val="nil"/>
              <w:bottom w:val="single" w:sz="4" w:space="0" w:color="auto"/>
              <w:right w:val="single" w:sz="4" w:space="0" w:color="auto"/>
            </w:tcBorders>
            <w:shd w:val="clear" w:color="000000" w:fill="FFFFFF"/>
            <w:noWrap/>
            <w:vAlign w:val="center"/>
            <w:hideMark/>
          </w:tcPr>
          <w:p w14:paraId="555F0F8D"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 xml:space="preserve"> Rp           6,204,682,000.00 </w:t>
            </w:r>
          </w:p>
        </w:tc>
        <w:tc>
          <w:tcPr>
            <w:tcW w:w="1440" w:type="dxa"/>
            <w:tcBorders>
              <w:top w:val="nil"/>
              <w:left w:val="nil"/>
              <w:bottom w:val="single" w:sz="4" w:space="0" w:color="auto"/>
              <w:right w:val="single" w:sz="4" w:space="0" w:color="auto"/>
            </w:tcBorders>
            <w:shd w:val="clear" w:color="000000" w:fill="FFFFFF"/>
            <w:noWrap/>
            <w:vAlign w:val="center"/>
            <w:hideMark/>
          </w:tcPr>
          <w:p w14:paraId="3AE470FC"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Low</w:t>
            </w:r>
          </w:p>
        </w:tc>
        <w:tc>
          <w:tcPr>
            <w:tcW w:w="1440" w:type="dxa"/>
            <w:tcBorders>
              <w:top w:val="nil"/>
              <w:left w:val="nil"/>
              <w:bottom w:val="single" w:sz="4" w:space="0" w:color="auto"/>
              <w:right w:val="single" w:sz="4" w:space="0" w:color="auto"/>
            </w:tcBorders>
            <w:shd w:val="clear" w:color="000000" w:fill="FFFFFF"/>
            <w:noWrap/>
            <w:vAlign w:val="center"/>
            <w:hideMark/>
          </w:tcPr>
          <w:p w14:paraId="68CF4870" w14:textId="77777777" w:rsidR="00221BE2" w:rsidRPr="00E619C8" w:rsidRDefault="00221BE2" w:rsidP="00FC1D48">
            <w:pPr>
              <w:spacing w:line="276" w:lineRule="auto"/>
              <w:jc w:val="center"/>
              <w:rPr>
                <w:rFonts w:ascii="Arial" w:hAnsi="Arial" w:cs="Arial"/>
                <w:sz w:val="22"/>
                <w:szCs w:val="22"/>
              </w:rPr>
            </w:pPr>
            <w:r w:rsidRPr="00E619C8">
              <w:rPr>
                <w:rFonts w:ascii="Arial" w:hAnsi="Arial" w:cs="Arial"/>
                <w:sz w:val="22"/>
                <w:szCs w:val="22"/>
              </w:rPr>
              <w:t>42.38</w:t>
            </w:r>
          </w:p>
        </w:tc>
      </w:tr>
      <w:tr w:rsidR="00221BE2" w:rsidRPr="00E619C8" w14:paraId="3753CCEC" w14:textId="77777777" w:rsidTr="00221BE2">
        <w:trPr>
          <w:trHeight w:val="288"/>
        </w:trPr>
        <w:tc>
          <w:tcPr>
            <w:tcW w:w="3055" w:type="dxa"/>
            <w:tcBorders>
              <w:top w:val="nil"/>
              <w:left w:val="single" w:sz="4" w:space="0" w:color="auto"/>
              <w:bottom w:val="single" w:sz="4" w:space="0" w:color="auto"/>
              <w:right w:val="single" w:sz="4" w:space="0" w:color="auto"/>
            </w:tcBorders>
            <w:shd w:val="clear" w:color="000000" w:fill="FFFFFF"/>
            <w:noWrap/>
            <w:vAlign w:val="bottom"/>
            <w:hideMark/>
          </w:tcPr>
          <w:p w14:paraId="6A7019D1"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Kelautan dan Perikanan</w:t>
            </w:r>
          </w:p>
        </w:tc>
        <w:tc>
          <w:tcPr>
            <w:tcW w:w="3060" w:type="dxa"/>
            <w:tcBorders>
              <w:top w:val="nil"/>
              <w:left w:val="nil"/>
              <w:bottom w:val="single" w:sz="4" w:space="0" w:color="auto"/>
              <w:right w:val="single" w:sz="4" w:space="0" w:color="auto"/>
            </w:tcBorders>
            <w:shd w:val="clear" w:color="000000" w:fill="FFFFFF"/>
            <w:noWrap/>
            <w:vAlign w:val="center"/>
            <w:hideMark/>
          </w:tcPr>
          <w:p w14:paraId="699B6939"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 xml:space="preserve"> Rp         39,766,895,899.00 </w:t>
            </w:r>
          </w:p>
        </w:tc>
        <w:tc>
          <w:tcPr>
            <w:tcW w:w="1440" w:type="dxa"/>
            <w:tcBorders>
              <w:top w:val="nil"/>
              <w:left w:val="nil"/>
              <w:bottom w:val="single" w:sz="4" w:space="0" w:color="auto"/>
              <w:right w:val="single" w:sz="4" w:space="0" w:color="auto"/>
            </w:tcBorders>
            <w:shd w:val="clear" w:color="000000" w:fill="FFFFFF"/>
            <w:noWrap/>
            <w:vAlign w:val="center"/>
            <w:hideMark/>
          </w:tcPr>
          <w:p w14:paraId="0A20AB0B"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Medium</w:t>
            </w:r>
          </w:p>
        </w:tc>
        <w:tc>
          <w:tcPr>
            <w:tcW w:w="1440" w:type="dxa"/>
            <w:tcBorders>
              <w:top w:val="nil"/>
              <w:left w:val="nil"/>
              <w:bottom w:val="single" w:sz="4" w:space="0" w:color="auto"/>
              <w:right w:val="single" w:sz="4" w:space="0" w:color="auto"/>
            </w:tcBorders>
            <w:shd w:val="clear" w:color="000000" w:fill="FFFFFF"/>
            <w:noWrap/>
            <w:vAlign w:val="center"/>
            <w:hideMark/>
          </w:tcPr>
          <w:p w14:paraId="224E77BA" w14:textId="77777777" w:rsidR="00221BE2" w:rsidRPr="00E619C8" w:rsidRDefault="00221BE2" w:rsidP="00FC1D48">
            <w:pPr>
              <w:spacing w:line="276" w:lineRule="auto"/>
              <w:jc w:val="center"/>
              <w:rPr>
                <w:rFonts w:ascii="Arial" w:hAnsi="Arial" w:cs="Arial"/>
                <w:sz w:val="22"/>
                <w:szCs w:val="22"/>
              </w:rPr>
            </w:pPr>
            <w:r w:rsidRPr="00E619C8">
              <w:rPr>
                <w:rFonts w:ascii="Arial" w:hAnsi="Arial" w:cs="Arial"/>
                <w:sz w:val="22"/>
                <w:szCs w:val="22"/>
              </w:rPr>
              <w:t>51.42</w:t>
            </w:r>
          </w:p>
        </w:tc>
      </w:tr>
      <w:tr w:rsidR="00221BE2" w:rsidRPr="00E619C8" w14:paraId="7B6C9A84" w14:textId="77777777" w:rsidTr="00221BE2">
        <w:trPr>
          <w:trHeight w:val="288"/>
        </w:trPr>
        <w:tc>
          <w:tcPr>
            <w:tcW w:w="3055" w:type="dxa"/>
            <w:tcBorders>
              <w:top w:val="nil"/>
              <w:left w:val="single" w:sz="4" w:space="0" w:color="auto"/>
              <w:bottom w:val="single" w:sz="4" w:space="0" w:color="auto"/>
              <w:right w:val="single" w:sz="4" w:space="0" w:color="auto"/>
            </w:tcBorders>
            <w:shd w:val="clear" w:color="000000" w:fill="FFFFFF"/>
            <w:noWrap/>
            <w:vAlign w:val="bottom"/>
            <w:hideMark/>
          </w:tcPr>
          <w:p w14:paraId="24E955F9"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Koperasi Usaha Kecil dan Menengah</w:t>
            </w:r>
          </w:p>
        </w:tc>
        <w:tc>
          <w:tcPr>
            <w:tcW w:w="3060" w:type="dxa"/>
            <w:tcBorders>
              <w:top w:val="nil"/>
              <w:left w:val="nil"/>
              <w:bottom w:val="single" w:sz="4" w:space="0" w:color="auto"/>
              <w:right w:val="single" w:sz="4" w:space="0" w:color="auto"/>
            </w:tcBorders>
            <w:shd w:val="clear" w:color="000000" w:fill="FFFFFF"/>
            <w:noWrap/>
            <w:vAlign w:val="center"/>
            <w:hideMark/>
          </w:tcPr>
          <w:p w14:paraId="2693FBF0"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 xml:space="preserve"> Rp           4,034,912,000.00 </w:t>
            </w:r>
          </w:p>
        </w:tc>
        <w:tc>
          <w:tcPr>
            <w:tcW w:w="1440" w:type="dxa"/>
            <w:tcBorders>
              <w:top w:val="nil"/>
              <w:left w:val="nil"/>
              <w:bottom w:val="single" w:sz="4" w:space="0" w:color="auto"/>
              <w:right w:val="single" w:sz="4" w:space="0" w:color="auto"/>
            </w:tcBorders>
            <w:shd w:val="clear" w:color="000000" w:fill="FFFFFF"/>
            <w:noWrap/>
            <w:vAlign w:val="center"/>
            <w:hideMark/>
          </w:tcPr>
          <w:p w14:paraId="1634EECC"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Low</w:t>
            </w:r>
          </w:p>
        </w:tc>
        <w:tc>
          <w:tcPr>
            <w:tcW w:w="1440" w:type="dxa"/>
            <w:tcBorders>
              <w:top w:val="nil"/>
              <w:left w:val="nil"/>
              <w:bottom w:val="single" w:sz="4" w:space="0" w:color="auto"/>
              <w:right w:val="single" w:sz="4" w:space="0" w:color="auto"/>
            </w:tcBorders>
            <w:shd w:val="clear" w:color="000000" w:fill="FFFFFF"/>
            <w:noWrap/>
            <w:vAlign w:val="center"/>
            <w:hideMark/>
          </w:tcPr>
          <w:p w14:paraId="07B9BBF7" w14:textId="77777777" w:rsidR="00221BE2" w:rsidRPr="00E619C8" w:rsidRDefault="00221BE2" w:rsidP="00FC1D48">
            <w:pPr>
              <w:spacing w:line="276" w:lineRule="auto"/>
              <w:jc w:val="center"/>
              <w:rPr>
                <w:rFonts w:ascii="Arial" w:hAnsi="Arial" w:cs="Arial"/>
                <w:sz w:val="22"/>
                <w:szCs w:val="22"/>
              </w:rPr>
            </w:pPr>
            <w:r w:rsidRPr="00E619C8">
              <w:rPr>
                <w:rFonts w:ascii="Arial" w:hAnsi="Arial" w:cs="Arial"/>
                <w:sz w:val="22"/>
                <w:szCs w:val="22"/>
              </w:rPr>
              <w:t>32.67</w:t>
            </w:r>
          </w:p>
        </w:tc>
      </w:tr>
      <w:tr w:rsidR="00221BE2" w:rsidRPr="00E619C8" w14:paraId="404E9B12" w14:textId="77777777" w:rsidTr="00221BE2">
        <w:trPr>
          <w:trHeight w:val="288"/>
        </w:trPr>
        <w:tc>
          <w:tcPr>
            <w:tcW w:w="3055" w:type="dxa"/>
            <w:tcBorders>
              <w:top w:val="nil"/>
              <w:left w:val="single" w:sz="4" w:space="0" w:color="auto"/>
              <w:bottom w:val="single" w:sz="4" w:space="0" w:color="auto"/>
              <w:right w:val="single" w:sz="4" w:space="0" w:color="auto"/>
            </w:tcBorders>
            <w:shd w:val="clear" w:color="000000" w:fill="FFFFFF"/>
            <w:noWrap/>
            <w:vAlign w:val="bottom"/>
            <w:hideMark/>
          </w:tcPr>
          <w:p w14:paraId="1070A51B"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Lingkungan Hidup dan Kehutanan</w:t>
            </w:r>
          </w:p>
        </w:tc>
        <w:tc>
          <w:tcPr>
            <w:tcW w:w="3060" w:type="dxa"/>
            <w:tcBorders>
              <w:top w:val="nil"/>
              <w:left w:val="nil"/>
              <w:bottom w:val="single" w:sz="4" w:space="0" w:color="auto"/>
              <w:right w:val="single" w:sz="4" w:space="0" w:color="auto"/>
            </w:tcBorders>
            <w:shd w:val="clear" w:color="000000" w:fill="FFFFFF"/>
            <w:noWrap/>
            <w:vAlign w:val="center"/>
            <w:hideMark/>
          </w:tcPr>
          <w:p w14:paraId="4C7AA6B1"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 xml:space="preserve"> Rp               447,629,000.00 </w:t>
            </w:r>
          </w:p>
        </w:tc>
        <w:tc>
          <w:tcPr>
            <w:tcW w:w="1440" w:type="dxa"/>
            <w:tcBorders>
              <w:top w:val="nil"/>
              <w:left w:val="nil"/>
              <w:bottom w:val="single" w:sz="4" w:space="0" w:color="auto"/>
              <w:right w:val="single" w:sz="4" w:space="0" w:color="auto"/>
            </w:tcBorders>
            <w:shd w:val="clear" w:color="000000" w:fill="FFFFFF"/>
            <w:noWrap/>
            <w:vAlign w:val="center"/>
            <w:hideMark/>
          </w:tcPr>
          <w:p w14:paraId="1859C2BF"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Low</w:t>
            </w:r>
          </w:p>
        </w:tc>
        <w:tc>
          <w:tcPr>
            <w:tcW w:w="1440" w:type="dxa"/>
            <w:tcBorders>
              <w:top w:val="nil"/>
              <w:left w:val="nil"/>
              <w:bottom w:val="single" w:sz="4" w:space="0" w:color="auto"/>
              <w:right w:val="single" w:sz="4" w:space="0" w:color="auto"/>
            </w:tcBorders>
            <w:shd w:val="clear" w:color="000000" w:fill="FFFFFF"/>
            <w:noWrap/>
            <w:vAlign w:val="center"/>
            <w:hideMark/>
          </w:tcPr>
          <w:p w14:paraId="4690E92F" w14:textId="77777777" w:rsidR="00221BE2" w:rsidRPr="00E619C8" w:rsidRDefault="00221BE2" w:rsidP="00FC1D48">
            <w:pPr>
              <w:spacing w:line="276" w:lineRule="auto"/>
              <w:jc w:val="center"/>
              <w:rPr>
                <w:rFonts w:ascii="Arial" w:hAnsi="Arial" w:cs="Arial"/>
                <w:sz w:val="22"/>
                <w:szCs w:val="22"/>
              </w:rPr>
            </w:pPr>
            <w:r w:rsidRPr="00E619C8">
              <w:rPr>
                <w:rFonts w:ascii="Arial" w:hAnsi="Arial" w:cs="Arial"/>
                <w:sz w:val="22"/>
                <w:szCs w:val="22"/>
              </w:rPr>
              <w:t>39.73</w:t>
            </w:r>
          </w:p>
        </w:tc>
      </w:tr>
      <w:tr w:rsidR="00221BE2" w:rsidRPr="00E619C8" w14:paraId="7DE23414" w14:textId="77777777" w:rsidTr="00221BE2">
        <w:trPr>
          <w:trHeight w:val="288"/>
        </w:trPr>
        <w:tc>
          <w:tcPr>
            <w:tcW w:w="3055" w:type="dxa"/>
            <w:tcBorders>
              <w:top w:val="nil"/>
              <w:left w:val="single" w:sz="4" w:space="0" w:color="auto"/>
              <w:bottom w:val="single" w:sz="4" w:space="0" w:color="auto"/>
              <w:right w:val="single" w:sz="4" w:space="0" w:color="auto"/>
            </w:tcBorders>
            <w:shd w:val="clear" w:color="000000" w:fill="FFFFFF"/>
            <w:noWrap/>
            <w:vAlign w:val="bottom"/>
            <w:hideMark/>
          </w:tcPr>
          <w:p w14:paraId="229FEA11"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Pariwisata</w:t>
            </w:r>
          </w:p>
        </w:tc>
        <w:tc>
          <w:tcPr>
            <w:tcW w:w="3060" w:type="dxa"/>
            <w:tcBorders>
              <w:top w:val="nil"/>
              <w:left w:val="nil"/>
              <w:bottom w:val="single" w:sz="4" w:space="0" w:color="auto"/>
              <w:right w:val="single" w:sz="4" w:space="0" w:color="auto"/>
            </w:tcBorders>
            <w:shd w:val="clear" w:color="000000" w:fill="FFFFFF"/>
            <w:noWrap/>
            <w:vAlign w:val="center"/>
            <w:hideMark/>
          </w:tcPr>
          <w:p w14:paraId="6BE3508F"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 xml:space="preserve"> Rp           2,300,000,000.00 </w:t>
            </w:r>
          </w:p>
        </w:tc>
        <w:tc>
          <w:tcPr>
            <w:tcW w:w="1440" w:type="dxa"/>
            <w:tcBorders>
              <w:top w:val="nil"/>
              <w:left w:val="nil"/>
              <w:bottom w:val="single" w:sz="4" w:space="0" w:color="auto"/>
              <w:right w:val="single" w:sz="4" w:space="0" w:color="auto"/>
            </w:tcBorders>
            <w:shd w:val="clear" w:color="000000" w:fill="FFFFFF"/>
            <w:noWrap/>
            <w:vAlign w:val="center"/>
            <w:hideMark/>
          </w:tcPr>
          <w:p w14:paraId="0A967B9C"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Low</w:t>
            </w:r>
          </w:p>
        </w:tc>
        <w:tc>
          <w:tcPr>
            <w:tcW w:w="1440" w:type="dxa"/>
            <w:tcBorders>
              <w:top w:val="nil"/>
              <w:left w:val="nil"/>
              <w:bottom w:val="single" w:sz="4" w:space="0" w:color="auto"/>
              <w:right w:val="single" w:sz="4" w:space="0" w:color="auto"/>
            </w:tcBorders>
            <w:shd w:val="clear" w:color="000000" w:fill="FFFFFF"/>
            <w:noWrap/>
            <w:vAlign w:val="center"/>
            <w:hideMark/>
          </w:tcPr>
          <w:p w14:paraId="4A10B450" w14:textId="77777777" w:rsidR="00221BE2" w:rsidRPr="00E619C8" w:rsidRDefault="00221BE2" w:rsidP="00FC1D48">
            <w:pPr>
              <w:spacing w:line="276" w:lineRule="auto"/>
              <w:jc w:val="center"/>
              <w:rPr>
                <w:rFonts w:ascii="Arial" w:hAnsi="Arial" w:cs="Arial"/>
                <w:sz w:val="22"/>
                <w:szCs w:val="22"/>
              </w:rPr>
            </w:pPr>
            <w:r w:rsidRPr="00E619C8">
              <w:rPr>
                <w:rFonts w:ascii="Arial" w:hAnsi="Arial" w:cs="Arial"/>
                <w:sz w:val="22"/>
                <w:szCs w:val="22"/>
              </w:rPr>
              <w:t>30.71</w:t>
            </w:r>
          </w:p>
        </w:tc>
      </w:tr>
      <w:tr w:rsidR="00221BE2" w:rsidRPr="00E619C8" w14:paraId="02086852" w14:textId="77777777" w:rsidTr="00FC1D48">
        <w:trPr>
          <w:trHeight w:val="288"/>
        </w:trPr>
        <w:tc>
          <w:tcPr>
            <w:tcW w:w="3055" w:type="dxa"/>
            <w:tcBorders>
              <w:top w:val="nil"/>
              <w:left w:val="single" w:sz="4" w:space="0" w:color="auto"/>
              <w:bottom w:val="single" w:sz="4" w:space="0" w:color="auto"/>
              <w:right w:val="single" w:sz="4" w:space="0" w:color="auto"/>
            </w:tcBorders>
            <w:shd w:val="clear" w:color="000000" w:fill="FFFFFF"/>
            <w:noWrap/>
            <w:vAlign w:val="bottom"/>
            <w:hideMark/>
          </w:tcPr>
          <w:p w14:paraId="69F4ED5B"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Pekerjaan Umum dan Penataan Ruang</w:t>
            </w:r>
          </w:p>
        </w:tc>
        <w:tc>
          <w:tcPr>
            <w:tcW w:w="3060" w:type="dxa"/>
            <w:tcBorders>
              <w:top w:val="nil"/>
              <w:left w:val="nil"/>
              <w:bottom w:val="single" w:sz="4" w:space="0" w:color="auto"/>
              <w:right w:val="single" w:sz="4" w:space="0" w:color="auto"/>
            </w:tcBorders>
            <w:shd w:val="clear" w:color="000000" w:fill="FFFFFF"/>
            <w:noWrap/>
            <w:vAlign w:val="center"/>
            <w:hideMark/>
          </w:tcPr>
          <w:p w14:paraId="7442B344"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 xml:space="preserve"> Rp       100,749,663,000.00 </w:t>
            </w:r>
          </w:p>
        </w:tc>
        <w:tc>
          <w:tcPr>
            <w:tcW w:w="1440" w:type="dxa"/>
            <w:tcBorders>
              <w:top w:val="nil"/>
              <w:left w:val="nil"/>
              <w:bottom w:val="single" w:sz="4" w:space="0" w:color="auto"/>
              <w:right w:val="single" w:sz="4" w:space="0" w:color="auto"/>
            </w:tcBorders>
            <w:shd w:val="clear" w:color="000000" w:fill="FFFFFF"/>
            <w:noWrap/>
            <w:vAlign w:val="center"/>
            <w:hideMark/>
          </w:tcPr>
          <w:p w14:paraId="3DE43788"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High</w:t>
            </w:r>
          </w:p>
        </w:tc>
        <w:tc>
          <w:tcPr>
            <w:tcW w:w="1440" w:type="dxa"/>
            <w:tcBorders>
              <w:top w:val="nil"/>
              <w:left w:val="nil"/>
              <w:bottom w:val="single" w:sz="4" w:space="0" w:color="auto"/>
              <w:right w:val="single" w:sz="4" w:space="0" w:color="auto"/>
            </w:tcBorders>
            <w:shd w:val="clear" w:color="000000" w:fill="FFFFFF"/>
            <w:noWrap/>
            <w:vAlign w:val="center"/>
            <w:hideMark/>
          </w:tcPr>
          <w:p w14:paraId="773331BF" w14:textId="77777777" w:rsidR="00221BE2" w:rsidRPr="00E619C8" w:rsidRDefault="00221BE2" w:rsidP="00FC1D48">
            <w:pPr>
              <w:spacing w:line="276" w:lineRule="auto"/>
              <w:jc w:val="center"/>
              <w:rPr>
                <w:rFonts w:ascii="Arial" w:hAnsi="Arial" w:cs="Arial"/>
                <w:sz w:val="22"/>
                <w:szCs w:val="22"/>
              </w:rPr>
            </w:pPr>
            <w:r w:rsidRPr="00E619C8">
              <w:rPr>
                <w:rFonts w:ascii="Arial" w:hAnsi="Arial" w:cs="Arial"/>
                <w:sz w:val="22"/>
                <w:szCs w:val="22"/>
              </w:rPr>
              <w:t>18.65</w:t>
            </w:r>
          </w:p>
        </w:tc>
      </w:tr>
      <w:tr w:rsidR="00221BE2" w:rsidRPr="00E619C8" w14:paraId="4177264D" w14:textId="77777777" w:rsidTr="00FC1D48">
        <w:trPr>
          <w:trHeight w:val="288"/>
        </w:trPr>
        <w:tc>
          <w:tcPr>
            <w:tcW w:w="30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796D60D"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Pekerjaan Umum dan Penataan Ruang (Highway Division)</w:t>
            </w:r>
          </w:p>
        </w:tc>
        <w:tc>
          <w:tcPr>
            <w:tcW w:w="3060" w:type="dxa"/>
            <w:tcBorders>
              <w:top w:val="single" w:sz="4" w:space="0" w:color="auto"/>
              <w:left w:val="nil"/>
              <w:bottom w:val="single" w:sz="4" w:space="0" w:color="auto"/>
              <w:right w:val="single" w:sz="4" w:space="0" w:color="auto"/>
            </w:tcBorders>
            <w:shd w:val="clear" w:color="000000" w:fill="FFFFFF"/>
            <w:noWrap/>
            <w:vAlign w:val="center"/>
            <w:hideMark/>
          </w:tcPr>
          <w:p w14:paraId="109E7669"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 xml:space="preserve"> Rp       559,083,590,743.00 </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14:paraId="2A3161C7"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High</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14:paraId="4380DBA5" w14:textId="77777777" w:rsidR="00221BE2" w:rsidRPr="00E619C8" w:rsidRDefault="00221BE2" w:rsidP="00FC1D48">
            <w:pPr>
              <w:spacing w:line="276" w:lineRule="auto"/>
              <w:jc w:val="center"/>
              <w:rPr>
                <w:rFonts w:ascii="Arial" w:hAnsi="Arial" w:cs="Arial"/>
                <w:sz w:val="22"/>
                <w:szCs w:val="22"/>
              </w:rPr>
            </w:pPr>
            <w:r w:rsidRPr="00E619C8">
              <w:rPr>
                <w:rFonts w:ascii="Arial" w:hAnsi="Arial" w:cs="Arial"/>
                <w:sz w:val="22"/>
                <w:szCs w:val="22"/>
              </w:rPr>
              <w:t>57.02</w:t>
            </w:r>
          </w:p>
        </w:tc>
      </w:tr>
      <w:tr w:rsidR="00221BE2" w:rsidRPr="00E619C8" w14:paraId="2CE850C4" w14:textId="77777777" w:rsidTr="00FC1D48">
        <w:trPr>
          <w:trHeight w:val="288"/>
        </w:trPr>
        <w:tc>
          <w:tcPr>
            <w:tcW w:w="30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13053E41"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Pekerjaan Umum dan Penataan Ruang (Water Resources Division)</w:t>
            </w:r>
          </w:p>
        </w:tc>
        <w:tc>
          <w:tcPr>
            <w:tcW w:w="3060" w:type="dxa"/>
            <w:tcBorders>
              <w:top w:val="single" w:sz="4" w:space="0" w:color="auto"/>
              <w:left w:val="nil"/>
              <w:bottom w:val="single" w:sz="4" w:space="0" w:color="auto"/>
              <w:right w:val="single" w:sz="4" w:space="0" w:color="auto"/>
            </w:tcBorders>
            <w:shd w:val="clear" w:color="000000" w:fill="FFFFFF"/>
            <w:noWrap/>
            <w:vAlign w:val="center"/>
            <w:hideMark/>
          </w:tcPr>
          <w:p w14:paraId="4B31F4C4"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 xml:space="preserve"> Rp         76,316,994,057.00 </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14:paraId="5687E309"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High</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14:paraId="361DB653" w14:textId="77777777" w:rsidR="00221BE2" w:rsidRPr="00E619C8" w:rsidRDefault="00221BE2" w:rsidP="00FC1D48">
            <w:pPr>
              <w:spacing w:line="276" w:lineRule="auto"/>
              <w:jc w:val="center"/>
              <w:rPr>
                <w:rFonts w:ascii="Arial" w:hAnsi="Arial" w:cs="Arial"/>
                <w:sz w:val="22"/>
                <w:szCs w:val="22"/>
              </w:rPr>
            </w:pPr>
            <w:r w:rsidRPr="00E619C8">
              <w:rPr>
                <w:rFonts w:ascii="Arial" w:hAnsi="Arial" w:cs="Arial"/>
                <w:sz w:val="22"/>
                <w:szCs w:val="22"/>
              </w:rPr>
              <w:t>47.85</w:t>
            </w:r>
          </w:p>
        </w:tc>
      </w:tr>
      <w:tr w:rsidR="00221BE2" w:rsidRPr="00E619C8" w14:paraId="1DB1BE29" w14:textId="77777777" w:rsidTr="00221BE2">
        <w:trPr>
          <w:trHeight w:val="288"/>
        </w:trPr>
        <w:tc>
          <w:tcPr>
            <w:tcW w:w="3055" w:type="dxa"/>
            <w:tcBorders>
              <w:top w:val="nil"/>
              <w:left w:val="single" w:sz="4" w:space="0" w:color="auto"/>
              <w:bottom w:val="single" w:sz="4" w:space="0" w:color="auto"/>
              <w:right w:val="single" w:sz="4" w:space="0" w:color="auto"/>
            </w:tcBorders>
            <w:shd w:val="clear" w:color="000000" w:fill="FFFFFF"/>
            <w:noWrap/>
            <w:vAlign w:val="bottom"/>
            <w:hideMark/>
          </w:tcPr>
          <w:p w14:paraId="676F3509"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Pemuda dan Olahraga</w:t>
            </w:r>
          </w:p>
        </w:tc>
        <w:tc>
          <w:tcPr>
            <w:tcW w:w="3060" w:type="dxa"/>
            <w:tcBorders>
              <w:top w:val="nil"/>
              <w:left w:val="nil"/>
              <w:bottom w:val="single" w:sz="4" w:space="0" w:color="auto"/>
              <w:right w:val="single" w:sz="4" w:space="0" w:color="auto"/>
            </w:tcBorders>
            <w:shd w:val="clear" w:color="000000" w:fill="FFFFFF"/>
            <w:noWrap/>
            <w:vAlign w:val="center"/>
            <w:hideMark/>
          </w:tcPr>
          <w:p w14:paraId="30527F33"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 xml:space="preserve"> Rp           7,543,965,959.00 </w:t>
            </w:r>
          </w:p>
        </w:tc>
        <w:tc>
          <w:tcPr>
            <w:tcW w:w="1440" w:type="dxa"/>
            <w:tcBorders>
              <w:top w:val="nil"/>
              <w:left w:val="nil"/>
              <w:bottom w:val="single" w:sz="4" w:space="0" w:color="auto"/>
              <w:right w:val="single" w:sz="4" w:space="0" w:color="auto"/>
            </w:tcBorders>
            <w:shd w:val="clear" w:color="000000" w:fill="FFFFFF"/>
            <w:noWrap/>
            <w:vAlign w:val="center"/>
            <w:hideMark/>
          </w:tcPr>
          <w:p w14:paraId="67E694B4"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Low</w:t>
            </w:r>
          </w:p>
        </w:tc>
        <w:tc>
          <w:tcPr>
            <w:tcW w:w="1440" w:type="dxa"/>
            <w:tcBorders>
              <w:top w:val="nil"/>
              <w:left w:val="nil"/>
              <w:bottom w:val="single" w:sz="4" w:space="0" w:color="auto"/>
              <w:right w:val="single" w:sz="4" w:space="0" w:color="auto"/>
            </w:tcBorders>
            <w:shd w:val="clear" w:color="000000" w:fill="FFFFFF"/>
            <w:noWrap/>
            <w:vAlign w:val="center"/>
            <w:hideMark/>
          </w:tcPr>
          <w:p w14:paraId="13E39AAE" w14:textId="77777777" w:rsidR="00221BE2" w:rsidRPr="00E619C8" w:rsidRDefault="00221BE2" w:rsidP="00FC1D48">
            <w:pPr>
              <w:spacing w:line="276" w:lineRule="auto"/>
              <w:jc w:val="center"/>
              <w:rPr>
                <w:rFonts w:ascii="Arial" w:hAnsi="Arial" w:cs="Arial"/>
                <w:sz w:val="22"/>
                <w:szCs w:val="22"/>
              </w:rPr>
            </w:pPr>
            <w:r w:rsidRPr="00E619C8">
              <w:rPr>
                <w:rFonts w:ascii="Arial" w:hAnsi="Arial" w:cs="Arial"/>
                <w:sz w:val="22"/>
                <w:szCs w:val="22"/>
              </w:rPr>
              <w:t>32.93</w:t>
            </w:r>
          </w:p>
        </w:tc>
      </w:tr>
      <w:tr w:rsidR="00221BE2" w:rsidRPr="00E619C8" w14:paraId="3B4E441D" w14:textId="77777777" w:rsidTr="00221BE2">
        <w:trPr>
          <w:trHeight w:val="288"/>
        </w:trPr>
        <w:tc>
          <w:tcPr>
            <w:tcW w:w="3055" w:type="dxa"/>
            <w:tcBorders>
              <w:top w:val="nil"/>
              <w:left w:val="single" w:sz="4" w:space="0" w:color="auto"/>
              <w:bottom w:val="single" w:sz="4" w:space="0" w:color="auto"/>
              <w:right w:val="single" w:sz="4" w:space="0" w:color="auto"/>
            </w:tcBorders>
            <w:shd w:val="clear" w:color="000000" w:fill="FFFFFF"/>
            <w:noWrap/>
            <w:vAlign w:val="bottom"/>
            <w:hideMark/>
          </w:tcPr>
          <w:p w14:paraId="46D8E02B"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Pendidikan dan Kebudayaan</w:t>
            </w:r>
          </w:p>
        </w:tc>
        <w:tc>
          <w:tcPr>
            <w:tcW w:w="3060" w:type="dxa"/>
            <w:tcBorders>
              <w:top w:val="nil"/>
              <w:left w:val="nil"/>
              <w:bottom w:val="single" w:sz="4" w:space="0" w:color="auto"/>
              <w:right w:val="single" w:sz="4" w:space="0" w:color="auto"/>
            </w:tcBorders>
            <w:shd w:val="clear" w:color="000000" w:fill="FFFFFF"/>
            <w:noWrap/>
            <w:vAlign w:val="center"/>
            <w:hideMark/>
          </w:tcPr>
          <w:p w14:paraId="091CB115"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 xml:space="preserve"> Rp           8,051,901,000.00 </w:t>
            </w:r>
          </w:p>
        </w:tc>
        <w:tc>
          <w:tcPr>
            <w:tcW w:w="1440" w:type="dxa"/>
            <w:tcBorders>
              <w:top w:val="nil"/>
              <w:left w:val="nil"/>
              <w:bottom w:val="single" w:sz="4" w:space="0" w:color="auto"/>
              <w:right w:val="single" w:sz="4" w:space="0" w:color="auto"/>
            </w:tcBorders>
            <w:shd w:val="clear" w:color="000000" w:fill="FFFFFF"/>
            <w:noWrap/>
            <w:vAlign w:val="center"/>
            <w:hideMark/>
          </w:tcPr>
          <w:p w14:paraId="2CC235D7"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Low</w:t>
            </w:r>
          </w:p>
        </w:tc>
        <w:tc>
          <w:tcPr>
            <w:tcW w:w="1440" w:type="dxa"/>
            <w:tcBorders>
              <w:top w:val="nil"/>
              <w:left w:val="nil"/>
              <w:bottom w:val="single" w:sz="4" w:space="0" w:color="auto"/>
              <w:right w:val="single" w:sz="4" w:space="0" w:color="auto"/>
            </w:tcBorders>
            <w:shd w:val="clear" w:color="000000" w:fill="FFFFFF"/>
            <w:noWrap/>
            <w:vAlign w:val="center"/>
            <w:hideMark/>
          </w:tcPr>
          <w:p w14:paraId="31985053" w14:textId="77777777" w:rsidR="00221BE2" w:rsidRPr="00E619C8" w:rsidRDefault="00221BE2" w:rsidP="00FC1D48">
            <w:pPr>
              <w:spacing w:line="276" w:lineRule="auto"/>
              <w:jc w:val="center"/>
              <w:rPr>
                <w:rFonts w:ascii="Arial" w:hAnsi="Arial" w:cs="Arial"/>
                <w:sz w:val="22"/>
                <w:szCs w:val="22"/>
              </w:rPr>
            </w:pPr>
            <w:r w:rsidRPr="00E619C8">
              <w:rPr>
                <w:rFonts w:ascii="Arial" w:hAnsi="Arial" w:cs="Arial"/>
                <w:sz w:val="22"/>
                <w:szCs w:val="22"/>
              </w:rPr>
              <w:t>39.19</w:t>
            </w:r>
          </w:p>
        </w:tc>
      </w:tr>
      <w:tr w:rsidR="00221BE2" w:rsidRPr="00E619C8" w14:paraId="62FB7C78" w14:textId="77777777" w:rsidTr="00FC1D48">
        <w:trPr>
          <w:trHeight w:val="288"/>
        </w:trPr>
        <w:tc>
          <w:tcPr>
            <w:tcW w:w="3055" w:type="dxa"/>
            <w:tcBorders>
              <w:top w:val="nil"/>
              <w:left w:val="single" w:sz="4" w:space="0" w:color="auto"/>
              <w:bottom w:val="single" w:sz="4" w:space="0" w:color="auto"/>
              <w:right w:val="single" w:sz="4" w:space="0" w:color="auto"/>
            </w:tcBorders>
            <w:shd w:val="clear" w:color="000000" w:fill="FFFFFF"/>
            <w:noWrap/>
            <w:vAlign w:val="bottom"/>
            <w:hideMark/>
          </w:tcPr>
          <w:p w14:paraId="4497DCB5"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Perindustrian</w:t>
            </w:r>
          </w:p>
        </w:tc>
        <w:tc>
          <w:tcPr>
            <w:tcW w:w="3060" w:type="dxa"/>
            <w:tcBorders>
              <w:top w:val="nil"/>
              <w:left w:val="nil"/>
              <w:bottom w:val="single" w:sz="4" w:space="0" w:color="auto"/>
              <w:right w:val="single" w:sz="4" w:space="0" w:color="auto"/>
            </w:tcBorders>
            <w:shd w:val="clear" w:color="000000" w:fill="FFFFFF"/>
            <w:noWrap/>
            <w:vAlign w:val="center"/>
            <w:hideMark/>
          </w:tcPr>
          <w:p w14:paraId="10FAF33C"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 xml:space="preserve"> Rp           6,100,658,000.00 </w:t>
            </w:r>
          </w:p>
        </w:tc>
        <w:tc>
          <w:tcPr>
            <w:tcW w:w="1440" w:type="dxa"/>
            <w:tcBorders>
              <w:top w:val="nil"/>
              <w:left w:val="nil"/>
              <w:bottom w:val="single" w:sz="4" w:space="0" w:color="auto"/>
              <w:right w:val="single" w:sz="4" w:space="0" w:color="auto"/>
            </w:tcBorders>
            <w:shd w:val="clear" w:color="000000" w:fill="FFFFFF"/>
            <w:noWrap/>
            <w:vAlign w:val="center"/>
            <w:hideMark/>
          </w:tcPr>
          <w:p w14:paraId="0651F25B"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Low</w:t>
            </w:r>
          </w:p>
        </w:tc>
        <w:tc>
          <w:tcPr>
            <w:tcW w:w="1440" w:type="dxa"/>
            <w:tcBorders>
              <w:top w:val="nil"/>
              <w:left w:val="nil"/>
              <w:bottom w:val="single" w:sz="4" w:space="0" w:color="auto"/>
              <w:right w:val="single" w:sz="4" w:space="0" w:color="auto"/>
            </w:tcBorders>
            <w:shd w:val="clear" w:color="000000" w:fill="FFFFFF"/>
            <w:noWrap/>
            <w:vAlign w:val="center"/>
            <w:hideMark/>
          </w:tcPr>
          <w:p w14:paraId="10CB5152" w14:textId="77777777" w:rsidR="00221BE2" w:rsidRPr="00E619C8" w:rsidRDefault="00221BE2" w:rsidP="00FC1D48">
            <w:pPr>
              <w:spacing w:line="276" w:lineRule="auto"/>
              <w:jc w:val="center"/>
              <w:rPr>
                <w:rFonts w:ascii="Arial" w:hAnsi="Arial" w:cs="Arial"/>
                <w:sz w:val="22"/>
                <w:szCs w:val="22"/>
              </w:rPr>
            </w:pPr>
            <w:r w:rsidRPr="00E619C8">
              <w:rPr>
                <w:rFonts w:ascii="Arial" w:hAnsi="Arial" w:cs="Arial"/>
                <w:sz w:val="22"/>
                <w:szCs w:val="22"/>
              </w:rPr>
              <w:t>33.58</w:t>
            </w:r>
          </w:p>
        </w:tc>
      </w:tr>
      <w:tr w:rsidR="00221BE2" w:rsidRPr="00E619C8" w14:paraId="5973A818" w14:textId="77777777" w:rsidTr="00FC1D48">
        <w:trPr>
          <w:trHeight w:val="288"/>
        </w:trPr>
        <w:tc>
          <w:tcPr>
            <w:tcW w:w="30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4E304F2"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Perpustakaan dan Kearsipan</w:t>
            </w:r>
          </w:p>
        </w:tc>
        <w:tc>
          <w:tcPr>
            <w:tcW w:w="3060" w:type="dxa"/>
            <w:tcBorders>
              <w:top w:val="single" w:sz="4" w:space="0" w:color="auto"/>
              <w:left w:val="nil"/>
              <w:bottom w:val="single" w:sz="4" w:space="0" w:color="auto"/>
              <w:right w:val="single" w:sz="4" w:space="0" w:color="auto"/>
            </w:tcBorders>
            <w:shd w:val="clear" w:color="000000" w:fill="FFFFFF"/>
            <w:noWrap/>
            <w:vAlign w:val="center"/>
            <w:hideMark/>
          </w:tcPr>
          <w:p w14:paraId="7441B3B1"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 xml:space="preserve"> Rp         14,163,826,000.00 </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14:paraId="17979034"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Medium</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14:paraId="2C83DAF5" w14:textId="77777777" w:rsidR="00221BE2" w:rsidRPr="00E619C8" w:rsidRDefault="00221BE2" w:rsidP="00FC1D48">
            <w:pPr>
              <w:spacing w:line="276" w:lineRule="auto"/>
              <w:jc w:val="center"/>
              <w:rPr>
                <w:rFonts w:ascii="Arial" w:hAnsi="Arial" w:cs="Arial"/>
                <w:sz w:val="22"/>
                <w:szCs w:val="22"/>
              </w:rPr>
            </w:pPr>
            <w:r w:rsidRPr="00E619C8">
              <w:rPr>
                <w:rFonts w:ascii="Arial" w:hAnsi="Arial" w:cs="Arial"/>
                <w:sz w:val="22"/>
                <w:szCs w:val="22"/>
              </w:rPr>
              <w:t>21.00</w:t>
            </w:r>
          </w:p>
        </w:tc>
      </w:tr>
      <w:tr w:rsidR="00221BE2" w:rsidRPr="00E619C8" w14:paraId="00D2A961" w14:textId="77777777" w:rsidTr="00FC1D48">
        <w:trPr>
          <w:trHeight w:val="288"/>
        </w:trPr>
        <w:tc>
          <w:tcPr>
            <w:tcW w:w="30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04784F"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Pertanian dan Perkebunan</w:t>
            </w:r>
          </w:p>
        </w:tc>
        <w:tc>
          <w:tcPr>
            <w:tcW w:w="3060" w:type="dxa"/>
            <w:tcBorders>
              <w:top w:val="single" w:sz="4" w:space="0" w:color="auto"/>
              <w:left w:val="nil"/>
              <w:bottom w:val="single" w:sz="4" w:space="0" w:color="auto"/>
              <w:right w:val="single" w:sz="4" w:space="0" w:color="auto"/>
            </w:tcBorders>
            <w:shd w:val="clear" w:color="000000" w:fill="FFFFFF"/>
            <w:noWrap/>
            <w:vAlign w:val="center"/>
            <w:hideMark/>
          </w:tcPr>
          <w:p w14:paraId="57885580"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 xml:space="preserve"> Rp         32,126,565,625.00 </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14:paraId="2444F16F"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Medium</w:t>
            </w:r>
          </w:p>
        </w:tc>
        <w:tc>
          <w:tcPr>
            <w:tcW w:w="1440" w:type="dxa"/>
            <w:tcBorders>
              <w:top w:val="single" w:sz="4" w:space="0" w:color="auto"/>
              <w:left w:val="nil"/>
              <w:bottom w:val="single" w:sz="4" w:space="0" w:color="auto"/>
              <w:right w:val="single" w:sz="4" w:space="0" w:color="auto"/>
            </w:tcBorders>
            <w:shd w:val="clear" w:color="000000" w:fill="FFFFFF"/>
            <w:noWrap/>
            <w:vAlign w:val="center"/>
            <w:hideMark/>
          </w:tcPr>
          <w:p w14:paraId="03EEF250" w14:textId="77777777" w:rsidR="00221BE2" w:rsidRPr="00E619C8" w:rsidRDefault="00221BE2" w:rsidP="00FC1D48">
            <w:pPr>
              <w:spacing w:line="276" w:lineRule="auto"/>
              <w:jc w:val="center"/>
              <w:rPr>
                <w:rFonts w:ascii="Arial" w:hAnsi="Arial" w:cs="Arial"/>
                <w:sz w:val="22"/>
                <w:szCs w:val="22"/>
              </w:rPr>
            </w:pPr>
            <w:r w:rsidRPr="00E619C8">
              <w:rPr>
                <w:rFonts w:ascii="Arial" w:hAnsi="Arial" w:cs="Arial"/>
                <w:sz w:val="22"/>
                <w:szCs w:val="22"/>
              </w:rPr>
              <w:t>47.23</w:t>
            </w:r>
          </w:p>
        </w:tc>
      </w:tr>
      <w:tr w:rsidR="00221BE2" w:rsidRPr="00E619C8" w14:paraId="7BED2C84" w14:textId="77777777" w:rsidTr="00221BE2">
        <w:trPr>
          <w:trHeight w:val="288"/>
        </w:trPr>
        <w:tc>
          <w:tcPr>
            <w:tcW w:w="3055" w:type="dxa"/>
            <w:tcBorders>
              <w:top w:val="nil"/>
              <w:left w:val="single" w:sz="4" w:space="0" w:color="auto"/>
              <w:bottom w:val="single" w:sz="4" w:space="0" w:color="auto"/>
              <w:right w:val="single" w:sz="4" w:space="0" w:color="auto"/>
            </w:tcBorders>
            <w:shd w:val="clear" w:color="000000" w:fill="FFFFFF"/>
            <w:noWrap/>
            <w:vAlign w:val="bottom"/>
            <w:hideMark/>
          </w:tcPr>
          <w:p w14:paraId="2CB89833"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Perumahan dan Permukiman</w:t>
            </w:r>
          </w:p>
        </w:tc>
        <w:tc>
          <w:tcPr>
            <w:tcW w:w="3060" w:type="dxa"/>
            <w:tcBorders>
              <w:top w:val="nil"/>
              <w:left w:val="nil"/>
              <w:bottom w:val="single" w:sz="4" w:space="0" w:color="auto"/>
              <w:right w:val="single" w:sz="4" w:space="0" w:color="auto"/>
            </w:tcBorders>
            <w:shd w:val="clear" w:color="000000" w:fill="FFFFFF"/>
            <w:noWrap/>
            <w:vAlign w:val="center"/>
            <w:hideMark/>
          </w:tcPr>
          <w:p w14:paraId="40B3AB94"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 xml:space="preserve"> Rp               688,150,000.00 </w:t>
            </w:r>
          </w:p>
        </w:tc>
        <w:tc>
          <w:tcPr>
            <w:tcW w:w="1440" w:type="dxa"/>
            <w:tcBorders>
              <w:top w:val="nil"/>
              <w:left w:val="nil"/>
              <w:bottom w:val="single" w:sz="4" w:space="0" w:color="auto"/>
              <w:right w:val="single" w:sz="4" w:space="0" w:color="auto"/>
            </w:tcBorders>
            <w:shd w:val="clear" w:color="000000" w:fill="FFFFFF"/>
            <w:noWrap/>
            <w:vAlign w:val="center"/>
            <w:hideMark/>
          </w:tcPr>
          <w:p w14:paraId="47CA23F2"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Low</w:t>
            </w:r>
          </w:p>
        </w:tc>
        <w:tc>
          <w:tcPr>
            <w:tcW w:w="1440" w:type="dxa"/>
            <w:tcBorders>
              <w:top w:val="nil"/>
              <w:left w:val="nil"/>
              <w:bottom w:val="single" w:sz="4" w:space="0" w:color="auto"/>
              <w:right w:val="single" w:sz="4" w:space="0" w:color="auto"/>
            </w:tcBorders>
            <w:shd w:val="clear" w:color="000000" w:fill="FFFFFF"/>
            <w:noWrap/>
            <w:vAlign w:val="center"/>
            <w:hideMark/>
          </w:tcPr>
          <w:p w14:paraId="30D1CE89" w14:textId="77777777" w:rsidR="00221BE2" w:rsidRPr="00E619C8" w:rsidRDefault="00221BE2" w:rsidP="00FC1D48">
            <w:pPr>
              <w:spacing w:line="276" w:lineRule="auto"/>
              <w:jc w:val="center"/>
              <w:rPr>
                <w:rFonts w:ascii="Arial" w:hAnsi="Arial" w:cs="Arial"/>
                <w:sz w:val="22"/>
                <w:szCs w:val="22"/>
              </w:rPr>
            </w:pPr>
            <w:r w:rsidRPr="00E619C8">
              <w:rPr>
                <w:rFonts w:ascii="Arial" w:hAnsi="Arial" w:cs="Arial"/>
                <w:sz w:val="22"/>
                <w:szCs w:val="22"/>
              </w:rPr>
              <w:t>24.80</w:t>
            </w:r>
          </w:p>
        </w:tc>
      </w:tr>
      <w:tr w:rsidR="00221BE2" w:rsidRPr="00E619C8" w14:paraId="6050F2AD" w14:textId="77777777" w:rsidTr="00221BE2">
        <w:trPr>
          <w:trHeight w:val="288"/>
        </w:trPr>
        <w:tc>
          <w:tcPr>
            <w:tcW w:w="3055" w:type="dxa"/>
            <w:tcBorders>
              <w:top w:val="nil"/>
              <w:left w:val="single" w:sz="4" w:space="0" w:color="auto"/>
              <w:bottom w:val="single" w:sz="4" w:space="0" w:color="auto"/>
              <w:right w:val="single" w:sz="4" w:space="0" w:color="auto"/>
            </w:tcBorders>
            <w:shd w:val="clear" w:color="000000" w:fill="FFFFFF"/>
            <w:noWrap/>
            <w:vAlign w:val="bottom"/>
            <w:hideMark/>
          </w:tcPr>
          <w:p w14:paraId="54D1C07C"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RSUD NTB</w:t>
            </w:r>
          </w:p>
        </w:tc>
        <w:tc>
          <w:tcPr>
            <w:tcW w:w="3060" w:type="dxa"/>
            <w:tcBorders>
              <w:top w:val="nil"/>
              <w:left w:val="nil"/>
              <w:bottom w:val="single" w:sz="4" w:space="0" w:color="auto"/>
              <w:right w:val="single" w:sz="4" w:space="0" w:color="auto"/>
            </w:tcBorders>
            <w:shd w:val="clear" w:color="000000" w:fill="FFFFFF"/>
            <w:noWrap/>
            <w:vAlign w:val="center"/>
            <w:hideMark/>
          </w:tcPr>
          <w:p w14:paraId="0DD22AB1"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 xml:space="preserve"> Rp         77,774,382,000.00 </w:t>
            </w:r>
          </w:p>
        </w:tc>
        <w:tc>
          <w:tcPr>
            <w:tcW w:w="1440" w:type="dxa"/>
            <w:tcBorders>
              <w:top w:val="nil"/>
              <w:left w:val="nil"/>
              <w:bottom w:val="single" w:sz="4" w:space="0" w:color="auto"/>
              <w:right w:val="single" w:sz="4" w:space="0" w:color="auto"/>
            </w:tcBorders>
            <w:shd w:val="clear" w:color="000000" w:fill="FFFFFF"/>
            <w:noWrap/>
            <w:vAlign w:val="center"/>
            <w:hideMark/>
          </w:tcPr>
          <w:p w14:paraId="52BC9361"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High</w:t>
            </w:r>
          </w:p>
        </w:tc>
        <w:tc>
          <w:tcPr>
            <w:tcW w:w="1440" w:type="dxa"/>
            <w:tcBorders>
              <w:top w:val="nil"/>
              <w:left w:val="nil"/>
              <w:bottom w:val="single" w:sz="4" w:space="0" w:color="auto"/>
              <w:right w:val="single" w:sz="4" w:space="0" w:color="auto"/>
            </w:tcBorders>
            <w:shd w:val="clear" w:color="000000" w:fill="FFFFFF"/>
            <w:noWrap/>
            <w:vAlign w:val="center"/>
            <w:hideMark/>
          </w:tcPr>
          <w:p w14:paraId="276ECA3B" w14:textId="77777777" w:rsidR="00221BE2" w:rsidRPr="00E619C8" w:rsidRDefault="00221BE2" w:rsidP="00FC1D48">
            <w:pPr>
              <w:spacing w:line="276" w:lineRule="auto"/>
              <w:jc w:val="center"/>
              <w:rPr>
                <w:rFonts w:ascii="Arial" w:hAnsi="Arial" w:cs="Arial"/>
                <w:sz w:val="22"/>
                <w:szCs w:val="22"/>
              </w:rPr>
            </w:pPr>
            <w:r w:rsidRPr="00E619C8">
              <w:rPr>
                <w:rFonts w:ascii="Arial" w:hAnsi="Arial" w:cs="Arial"/>
                <w:sz w:val="22"/>
                <w:szCs w:val="22"/>
              </w:rPr>
              <w:t>23.20</w:t>
            </w:r>
          </w:p>
        </w:tc>
      </w:tr>
      <w:tr w:rsidR="00221BE2" w:rsidRPr="00E619C8" w14:paraId="6C628481" w14:textId="77777777" w:rsidTr="00221BE2">
        <w:trPr>
          <w:trHeight w:val="288"/>
        </w:trPr>
        <w:tc>
          <w:tcPr>
            <w:tcW w:w="3055" w:type="dxa"/>
            <w:tcBorders>
              <w:top w:val="nil"/>
              <w:left w:val="single" w:sz="4" w:space="0" w:color="auto"/>
              <w:bottom w:val="single" w:sz="4" w:space="0" w:color="auto"/>
              <w:right w:val="single" w:sz="4" w:space="0" w:color="auto"/>
            </w:tcBorders>
            <w:shd w:val="clear" w:color="000000" w:fill="FFFFFF"/>
            <w:noWrap/>
            <w:vAlign w:val="bottom"/>
            <w:hideMark/>
          </w:tcPr>
          <w:p w14:paraId="1C7ACE5C"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Rumah Sakit H. L. Manambai Abdul Kadir</w:t>
            </w:r>
          </w:p>
        </w:tc>
        <w:tc>
          <w:tcPr>
            <w:tcW w:w="3060" w:type="dxa"/>
            <w:tcBorders>
              <w:top w:val="nil"/>
              <w:left w:val="nil"/>
              <w:bottom w:val="single" w:sz="4" w:space="0" w:color="auto"/>
              <w:right w:val="single" w:sz="4" w:space="0" w:color="auto"/>
            </w:tcBorders>
            <w:shd w:val="clear" w:color="000000" w:fill="FFFFFF"/>
            <w:noWrap/>
            <w:vAlign w:val="center"/>
            <w:hideMark/>
          </w:tcPr>
          <w:p w14:paraId="2E4B6E66"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 xml:space="preserve"> Rp           9,291,557,000.00 </w:t>
            </w:r>
          </w:p>
        </w:tc>
        <w:tc>
          <w:tcPr>
            <w:tcW w:w="1440" w:type="dxa"/>
            <w:tcBorders>
              <w:top w:val="nil"/>
              <w:left w:val="nil"/>
              <w:bottom w:val="single" w:sz="4" w:space="0" w:color="auto"/>
              <w:right w:val="single" w:sz="4" w:space="0" w:color="auto"/>
            </w:tcBorders>
            <w:shd w:val="clear" w:color="000000" w:fill="FFFFFF"/>
            <w:noWrap/>
            <w:vAlign w:val="center"/>
            <w:hideMark/>
          </w:tcPr>
          <w:p w14:paraId="1ED703C4"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Low</w:t>
            </w:r>
          </w:p>
        </w:tc>
        <w:tc>
          <w:tcPr>
            <w:tcW w:w="1440" w:type="dxa"/>
            <w:tcBorders>
              <w:top w:val="nil"/>
              <w:left w:val="nil"/>
              <w:bottom w:val="single" w:sz="4" w:space="0" w:color="auto"/>
              <w:right w:val="single" w:sz="4" w:space="0" w:color="auto"/>
            </w:tcBorders>
            <w:shd w:val="clear" w:color="000000" w:fill="FFFFFF"/>
            <w:noWrap/>
            <w:vAlign w:val="center"/>
            <w:hideMark/>
          </w:tcPr>
          <w:p w14:paraId="39B83F55" w14:textId="77777777" w:rsidR="00221BE2" w:rsidRPr="00E619C8" w:rsidRDefault="00221BE2" w:rsidP="00FC1D48">
            <w:pPr>
              <w:spacing w:line="276" w:lineRule="auto"/>
              <w:jc w:val="center"/>
              <w:rPr>
                <w:rFonts w:ascii="Arial" w:hAnsi="Arial" w:cs="Arial"/>
                <w:sz w:val="22"/>
                <w:szCs w:val="22"/>
              </w:rPr>
            </w:pPr>
            <w:r w:rsidRPr="00E619C8">
              <w:rPr>
                <w:rFonts w:ascii="Arial" w:hAnsi="Arial" w:cs="Arial"/>
                <w:sz w:val="22"/>
                <w:szCs w:val="22"/>
              </w:rPr>
              <w:t>24.69</w:t>
            </w:r>
          </w:p>
        </w:tc>
      </w:tr>
      <w:tr w:rsidR="00221BE2" w:rsidRPr="00E619C8" w14:paraId="39180748" w14:textId="77777777" w:rsidTr="00221BE2">
        <w:trPr>
          <w:trHeight w:val="288"/>
        </w:trPr>
        <w:tc>
          <w:tcPr>
            <w:tcW w:w="3055" w:type="dxa"/>
            <w:tcBorders>
              <w:top w:val="nil"/>
              <w:left w:val="single" w:sz="4" w:space="0" w:color="auto"/>
              <w:bottom w:val="single" w:sz="4" w:space="0" w:color="auto"/>
              <w:right w:val="single" w:sz="4" w:space="0" w:color="auto"/>
            </w:tcBorders>
            <w:shd w:val="clear" w:color="000000" w:fill="FFFFFF"/>
            <w:noWrap/>
            <w:vAlign w:val="bottom"/>
            <w:hideMark/>
          </w:tcPr>
          <w:p w14:paraId="1A8246E5"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Rumah Sakit Jiwa Mutiara Sukma Provinsi</w:t>
            </w:r>
          </w:p>
        </w:tc>
        <w:tc>
          <w:tcPr>
            <w:tcW w:w="3060" w:type="dxa"/>
            <w:tcBorders>
              <w:top w:val="nil"/>
              <w:left w:val="nil"/>
              <w:bottom w:val="single" w:sz="4" w:space="0" w:color="auto"/>
              <w:right w:val="single" w:sz="4" w:space="0" w:color="auto"/>
            </w:tcBorders>
            <w:shd w:val="clear" w:color="000000" w:fill="FFFFFF"/>
            <w:noWrap/>
            <w:vAlign w:val="center"/>
            <w:hideMark/>
          </w:tcPr>
          <w:p w14:paraId="12E686C0"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 xml:space="preserve"> Rp         12,697,561,000.00 </w:t>
            </w:r>
          </w:p>
        </w:tc>
        <w:tc>
          <w:tcPr>
            <w:tcW w:w="1440" w:type="dxa"/>
            <w:tcBorders>
              <w:top w:val="nil"/>
              <w:left w:val="nil"/>
              <w:bottom w:val="single" w:sz="4" w:space="0" w:color="auto"/>
              <w:right w:val="single" w:sz="4" w:space="0" w:color="auto"/>
            </w:tcBorders>
            <w:shd w:val="clear" w:color="000000" w:fill="FFFFFF"/>
            <w:noWrap/>
            <w:vAlign w:val="center"/>
            <w:hideMark/>
          </w:tcPr>
          <w:p w14:paraId="30CC3923"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Medium</w:t>
            </w:r>
          </w:p>
        </w:tc>
        <w:tc>
          <w:tcPr>
            <w:tcW w:w="1440" w:type="dxa"/>
            <w:tcBorders>
              <w:top w:val="nil"/>
              <w:left w:val="nil"/>
              <w:bottom w:val="single" w:sz="4" w:space="0" w:color="auto"/>
              <w:right w:val="single" w:sz="4" w:space="0" w:color="auto"/>
            </w:tcBorders>
            <w:shd w:val="clear" w:color="000000" w:fill="FFFFFF"/>
            <w:noWrap/>
            <w:vAlign w:val="center"/>
            <w:hideMark/>
          </w:tcPr>
          <w:p w14:paraId="25B8AED6" w14:textId="77777777" w:rsidR="00221BE2" w:rsidRPr="00E619C8" w:rsidRDefault="00221BE2" w:rsidP="00FC1D48">
            <w:pPr>
              <w:spacing w:line="276" w:lineRule="auto"/>
              <w:jc w:val="center"/>
              <w:rPr>
                <w:rFonts w:ascii="Arial" w:hAnsi="Arial" w:cs="Arial"/>
                <w:sz w:val="22"/>
                <w:szCs w:val="22"/>
              </w:rPr>
            </w:pPr>
            <w:r w:rsidRPr="00E619C8">
              <w:rPr>
                <w:rFonts w:ascii="Arial" w:hAnsi="Arial" w:cs="Arial"/>
                <w:sz w:val="22"/>
                <w:szCs w:val="22"/>
              </w:rPr>
              <w:t>51.79</w:t>
            </w:r>
          </w:p>
        </w:tc>
      </w:tr>
      <w:tr w:rsidR="00221BE2" w:rsidRPr="00E619C8" w14:paraId="556CBBC9" w14:textId="77777777" w:rsidTr="00221BE2">
        <w:trPr>
          <w:trHeight w:val="288"/>
        </w:trPr>
        <w:tc>
          <w:tcPr>
            <w:tcW w:w="3055" w:type="dxa"/>
            <w:tcBorders>
              <w:top w:val="nil"/>
              <w:left w:val="single" w:sz="4" w:space="0" w:color="auto"/>
              <w:bottom w:val="single" w:sz="4" w:space="0" w:color="auto"/>
              <w:right w:val="single" w:sz="4" w:space="0" w:color="auto"/>
            </w:tcBorders>
            <w:shd w:val="clear" w:color="000000" w:fill="FFFFFF"/>
            <w:noWrap/>
            <w:vAlign w:val="bottom"/>
            <w:hideMark/>
          </w:tcPr>
          <w:p w14:paraId="69DC3031"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Rumah Sakit Mandalika</w:t>
            </w:r>
          </w:p>
        </w:tc>
        <w:tc>
          <w:tcPr>
            <w:tcW w:w="3060" w:type="dxa"/>
            <w:tcBorders>
              <w:top w:val="nil"/>
              <w:left w:val="nil"/>
              <w:bottom w:val="single" w:sz="4" w:space="0" w:color="auto"/>
              <w:right w:val="single" w:sz="4" w:space="0" w:color="auto"/>
            </w:tcBorders>
            <w:shd w:val="clear" w:color="000000" w:fill="FFFFFF"/>
            <w:noWrap/>
            <w:vAlign w:val="center"/>
            <w:hideMark/>
          </w:tcPr>
          <w:p w14:paraId="3F31BC3D"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 xml:space="preserve"> Rp         28,406,569,666.00 </w:t>
            </w:r>
          </w:p>
        </w:tc>
        <w:tc>
          <w:tcPr>
            <w:tcW w:w="1440" w:type="dxa"/>
            <w:tcBorders>
              <w:top w:val="nil"/>
              <w:left w:val="nil"/>
              <w:bottom w:val="single" w:sz="4" w:space="0" w:color="auto"/>
              <w:right w:val="single" w:sz="4" w:space="0" w:color="auto"/>
            </w:tcBorders>
            <w:shd w:val="clear" w:color="000000" w:fill="FFFFFF"/>
            <w:noWrap/>
            <w:vAlign w:val="center"/>
            <w:hideMark/>
          </w:tcPr>
          <w:p w14:paraId="720F5456"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Medium</w:t>
            </w:r>
          </w:p>
        </w:tc>
        <w:tc>
          <w:tcPr>
            <w:tcW w:w="1440" w:type="dxa"/>
            <w:tcBorders>
              <w:top w:val="nil"/>
              <w:left w:val="nil"/>
              <w:bottom w:val="single" w:sz="4" w:space="0" w:color="auto"/>
              <w:right w:val="single" w:sz="4" w:space="0" w:color="auto"/>
            </w:tcBorders>
            <w:shd w:val="clear" w:color="000000" w:fill="FFFFFF"/>
            <w:noWrap/>
            <w:vAlign w:val="center"/>
            <w:hideMark/>
          </w:tcPr>
          <w:p w14:paraId="512361D3" w14:textId="77777777" w:rsidR="00221BE2" w:rsidRPr="00E619C8" w:rsidRDefault="00221BE2" w:rsidP="00FC1D48">
            <w:pPr>
              <w:spacing w:line="276" w:lineRule="auto"/>
              <w:jc w:val="center"/>
              <w:rPr>
                <w:rFonts w:ascii="Arial" w:hAnsi="Arial" w:cs="Arial"/>
                <w:sz w:val="22"/>
                <w:szCs w:val="22"/>
              </w:rPr>
            </w:pPr>
            <w:r w:rsidRPr="00E619C8">
              <w:rPr>
                <w:rFonts w:ascii="Arial" w:hAnsi="Arial" w:cs="Arial"/>
                <w:sz w:val="22"/>
                <w:szCs w:val="22"/>
              </w:rPr>
              <w:t>55.40</w:t>
            </w:r>
          </w:p>
        </w:tc>
      </w:tr>
      <w:tr w:rsidR="00221BE2" w:rsidRPr="00E619C8" w14:paraId="637A76CB" w14:textId="77777777" w:rsidTr="00221BE2">
        <w:trPr>
          <w:trHeight w:val="288"/>
        </w:trPr>
        <w:tc>
          <w:tcPr>
            <w:tcW w:w="3055" w:type="dxa"/>
            <w:tcBorders>
              <w:top w:val="nil"/>
              <w:left w:val="single" w:sz="4" w:space="0" w:color="auto"/>
              <w:bottom w:val="single" w:sz="4" w:space="0" w:color="auto"/>
              <w:right w:val="single" w:sz="4" w:space="0" w:color="auto"/>
            </w:tcBorders>
            <w:shd w:val="clear" w:color="000000" w:fill="FFFFFF"/>
            <w:noWrap/>
            <w:vAlign w:val="bottom"/>
            <w:hideMark/>
          </w:tcPr>
          <w:p w14:paraId="476CE995"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Sekretariat Dewan Perwakilan Rakyat Daerah</w:t>
            </w:r>
          </w:p>
        </w:tc>
        <w:tc>
          <w:tcPr>
            <w:tcW w:w="3060" w:type="dxa"/>
            <w:tcBorders>
              <w:top w:val="nil"/>
              <w:left w:val="nil"/>
              <w:bottom w:val="single" w:sz="4" w:space="0" w:color="auto"/>
              <w:right w:val="single" w:sz="4" w:space="0" w:color="auto"/>
            </w:tcBorders>
            <w:shd w:val="clear" w:color="000000" w:fill="FFFFFF"/>
            <w:noWrap/>
            <w:vAlign w:val="center"/>
            <w:hideMark/>
          </w:tcPr>
          <w:p w14:paraId="3849D19F"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 xml:space="preserve"> Rp               905,762,000.00 </w:t>
            </w:r>
          </w:p>
        </w:tc>
        <w:tc>
          <w:tcPr>
            <w:tcW w:w="1440" w:type="dxa"/>
            <w:tcBorders>
              <w:top w:val="nil"/>
              <w:left w:val="nil"/>
              <w:bottom w:val="single" w:sz="4" w:space="0" w:color="auto"/>
              <w:right w:val="single" w:sz="4" w:space="0" w:color="auto"/>
            </w:tcBorders>
            <w:shd w:val="clear" w:color="000000" w:fill="FFFFFF"/>
            <w:noWrap/>
            <w:vAlign w:val="center"/>
            <w:hideMark/>
          </w:tcPr>
          <w:p w14:paraId="02FB8819"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Low</w:t>
            </w:r>
          </w:p>
        </w:tc>
        <w:tc>
          <w:tcPr>
            <w:tcW w:w="1440" w:type="dxa"/>
            <w:tcBorders>
              <w:top w:val="nil"/>
              <w:left w:val="nil"/>
              <w:bottom w:val="single" w:sz="4" w:space="0" w:color="auto"/>
              <w:right w:val="single" w:sz="4" w:space="0" w:color="auto"/>
            </w:tcBorders>
            <w:shd w:val="clear" w:color="000000" w:fill="FFFFFF"/>
            <w:noWrap/>
            <w:vAlign w:val="center"/>
            <w:hideMark/>
          </w:tcPr>
          <w:p w14:paraId="06A0D791" w14:textId="77777777" w:rsidR="00221BE2" w:rsidRPr="00E619C8" w:rsidRDefault="00221BE2" w:rsidP="00FC1D48">
            <w:pPr>
              <w:spacing w:line="276" w:lineRule="auto"/>
              <w:jc w:val="center"/>
              <w:rPr>
                <w:rFonts w:ascii="Arial" w:hAnsi="Arial" w:cs="Arial"/>
                <w:sz w:val="22"/>
                <w:szCs w:val="22"/>
              </w:rPr>
            </w:pPr>
            <w:r w:rsidRPr="00E619C8">
              <w:rPr>
                <w:rFonts w:ascii="Arial" w:hAnsi="Arial" w:cs="Arial"/>
                <w:sz w:val="22"/>
                <w:szCs w:val="22"/>
              </w:rPr>
              <w:t>23.78</w:t>
            </w:r>
          </w:p>
        </w:tc>
      </w:tr>
      <w:tr w:rsidR="00221BE2" w:rsidRPr="00E619C8" w14:paraId="27C1F799" w14:textId="77777777" w:rsidTr="00FC1D48">
        <w:trPr>
          <w:trHeight w:val="464"/>
        </w:trPr>
        <w:tc>
          <w:tcPr>
            <w:tcW w:w="3055" w:type="dxa"/>
            <w:tcBorders>
              <w:top w:val="nil"/>
              <w:left w:val="single" w:sz="4" w:space="0" w:color="auto"/>
              <w:bottom w:val="single" w:sz="4" w:space="0" w:color="auto"/>
              <w:right w:val="single" w:sz="4" w:space="0" w:color="auto"/>
            </w:tcBorders>
            <w:shd w:val="clear" w:color="auto" w:fill="C00000"/>
            <w:noWrap/>
            <w:vAlign w:val="bottom"/>
            <w:hideMark/>
          </w:tcPr>
          <w:p w14:paraId="6C2C4584" w14:textId="77777777" w:rsidR="00221BE2" w:rsidRPr="00E619C8" w:rsidRDefault="00221BE2" w:rsidP="00FC1D48">
            <w:pPr>
              <w:spacing w:line="276" w:lineRule="auto"/>
              <w:rPr>
                <w:rFonts w:ascii="Arial" w:hAnsi="Arial" w:cs="Arial"/>
                <w:b/>
                <w:bCs/>
                <w:color w:val="FFFFFF"/>
                <w:sz w:val="22"/>
                <w:szCs w:val="22"/>
              </w:rPr>
            </w:pPr>
            <w:r w:rsidRPr="00E619C8">
              <w:rPr>
                <w:rFonts w:ascii="Arial" w:hAnsi="Arial" w:cs="Arial"/>
                <w:b/>
                <w:bCs/>
                <w:color w:val="FFFFFF"/>
                <w:sz w:val="22"/>
                <w:szCs w:val="22"/>
              </w:rPr>
              <w:t>Grand Total</w:t>
            </w:r>
          </w:p>
        </w:tc>
        <w:tc>
          <w:tcPr>
            <w:tcW w:w="3060" w:type="dxa"/>
            <w:tcBorders>
              <w:top w:val="nil"/>
              <w:left w:val="nil"/>
              <w:bottom w:val="single" w:sz="4" w:space="0" w:color="auto"/>
              <w:right w:val="single" w:sz="4" w:space="0" w:color="auto"/>
            </w:tcBorders>
            <w:shd w:val="clear" w:color="auto" w:fill="C00000"/>
            <w:noWrap/>
            <w:vAlign w:val="bottom"/>
            <w:hideMark/>
          </w:tcPr>
          <w:p w14:paraId="7973CC90" w14:textId="77777777" w:rsidR="00221BE2" w:rsidRPr="00E619C8" w:rsidRDefault="00221BE2" w:rsidP="00FC1D48">
            <w:pPr>
              <w:spacing w:line="276" w:lineRule="auto"/>
              <w:rPr>
                <w:rFonts w:ascii="Arial" w:hAnsi="Arial" w:cs="Arial"/>
                <w:b/>
                <w:bCs/>
                <w:color w:val="FFFFFF"/>
                <w:sz w:val="22"/>
                <w:szCs w:val="22"/>
              </w:rPr>
            </w:pPr>
            <w:r w:rsidRPr="00E619C8">
              <w:rPr>
                <w:rFonts w:ascii="Arial" w:hAnsi="Arial" w:cs="Arial"/>
                <w:b/>
                <w:bCs/>
                <w:color w:val="FFFFFF"/>
                <w:sz w:val="22"/>
                <w:szCs w:val="22"/>
              </w:rPr>
              <w:t xml:space="preserve"> Rp      986,655,264,949.00 </w:t>
            </w:r>
          </w:p>
        </w:tc>
        <w:tc>
          <w:tcPr>
            <w:tcW w:w="2880" w:type="dxa"/>
            <w:gridSpan w:val="2"/>
            <w:tcBorders>
              <w:top w:val="single" w:sz="4" w:space="0" w:color="auto"/>
              <w:left w:val="nil"/>
              <w:bottom w:val="single" w:sz="4" w:space="0" w:color="auto"/>
              <w:right w:val="single" w:sz="4" w:space="0" w:color="000000"/>
            </w:tcBorders>
            <w:shd w:val="clear" w:color="auto" w:fill="C00000"/>
            <w:noWrap/>
            <w:vAlign w:val="bottom"/>
            <w:hideMark/>
          </w:tcPr>
          <w:p w14:paraId="6A7BBB01" w14:textId="77777777" w:rsidR="00221BE2" w:rsidRPr="00E619C8" w:rsidRDefault="00221BE2" w:rsidP="00FC1D48">
            <w:pPr>
              <w:spacing w:line="276" w:lineRule="auto"/>
              <w:jc w:val="center"/>
              <w:rPr>
                <w:rFonts w:ascii="Arial" w:hAnsi="Arial" w:cs="Arial"/>
                <w:color w:val="FFFFFF"/>
                <w:sz w:val="22"/>
                <w:szCs w:val="22"/>
              </w:rPr>
            </w:pPr>
            <w:r w:rsidRPr="00E619C8">
              <w:rPr>
                <w:rFonts w:ascii="Arial" w:hAnsi="Arial" w:cs="Arial"/>
                <w:color w:val="FFFFFF"/>
                <w:sz w:val="22"/>
                <w:szCs w:val="22"/>
              </w:rPr>
              <w:t> </w:t>
            </w:r>
          </w:p>
        </w:tc>
      </w:tr>
    </w:tbl>
    <w:p w14:paraId="702A6179" w14:textId="5529B0B3" w:rsidR="002033A5" w:rsidRPr="00E619C8" w:rsidRDefault="00E113EC">
      <w:pPr>
        <w:keepNext/>
        <w:keepLines/>
        <w:spacing w:before="240" w:after="240" w:line="300" w:lineRule="auto"/>
        <w:jc w:val="center"/>
        <w:rPr>
          <w:rFonts w:ascii="Arial" w:eastAsia="Arial" w:hAnsi="Arial" w:cs="Arial"/>
          <w:sz w:val="20"/>
          <w:szCs w:val="20"/>
        </w:rPr>
      </w:pPr>
      <w:bookmarkStart w:id="26" w:name="_heading=h.ri7aj0k4ejh" w:colFirst="0" w:colLast="0"/>
      <w:bookmarkEnd w:id="26"/>
      <w:r w:rsidRPr="00E619C8">
        <w:rPr>
          <w:rFonts w:ascii="Arial" w:eastAsia="Arial" w:hAnsi="Arial" w:cs="Arial"/>
          <w:sz w:val="20"/>
          <w:szCs w:val="20"/>
        </w:rPr>
        <w:t xml:space="preserve">Table </w:t>
      </w:r>
      <w:r w:rsidR="00DD0F1A" w:rsidRPr="00E619C8">
        <w:rPr>
          <w:rFonts w:ascii="Arial" w:eastAsia="Arial" w:hAnsi="Arial" w:cs="Arial"/>
          <w:sz w:val="20"/>
          <w:szCs w:val="20"/>
        </w:rPr>
        <w:t>7</w:t>
      </w:r>
      <w:r w:rsidRPr="00E619C8">
        <w:rPr>
          <w:rFonts w:ascii="Arial" w:eastAsia="Arial" w:hAnsi="Arial" w:cs="Arial"/>
          <w:sz w:val="20"/>
          <w:szCs w:val="20"/>
        </w:rPr>
        <w:t>. ITI Scores by Budget Category of Procuring Entities</w:t>
      </w:r>
    </w:p>
    <w:p w14:paraId="24EA4935" w14:textId="7777777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After classifying Procuring Entities into budget categories (High, Medium, and Low), the average ITI score was calculated for each category to examine whether budget size is associated with transparency performance.</w:t>
      </w:r>
    </w:p>
    <w:tbl>
      <w:tblPr>
        <w:tblW w:w="4000" w:type="dxa"/>
        <w:jc w:val="center"/>
        <w:tblCellMar>
          <w:left w:w="0" w:type="dxa"/>
          <w:right w:w="0" w:type="dxa"/>
        </w:tblCellMar>
        <w:tblLook w:val="04A0" w:firstRow="1" w:lastRow="0" w:firstColumn="1" w:lastColumn="0" w:noHBand="0" w:noVBand="1"/>
      </w:tblPr>
      <w:tblGrid>
        <w:gridCol w:w="1740"/>
        <w:gridCol w:w="2260"/>
      </w:tblGrid>
      <w:tr w:rsidR="00221BE2" w:rsidRPr="00E619C8" w14:paraId="7079DE45" w14:textId="77777777" w:rsidTr="00FC1D48">
        <w:trPr>
          <w:trHeight w:val="288"/>
          <w:jc w:val="center"/>
        </w:trPr>
        <w:tc>
          <w:tcPr>
            <w:tcW w:w="1740" w:type="dxa"/>
            <w:tcBorders>
              <w:top w:val="single" w:sz="4" w:space="0" w:color="auto"/>
              <w:left w:val="single" w:sz="4" w:space="0" w:color="auto"/>
              <w:bottom w:val="single" w:sz="4" w:space="0" w:color="auto"/>
              <w:right w:val="single" w:sz="4" w:space="0" w:color="auto"/>
            </w:tcBorders>
            <w:shd w:val="clear" w:color="auto" w:fill="C00000"/>
            <w:noWrap/>
            <w:tcMar>
              <w:top w:w="15" w:type="dxa"/>
              <w:left w:w="15" w:type="dxa"/>
              <w:bottom w:w="0" w:type="dxa"/>
              <w:right w:w="15" w:type="dxa"/>
            </w:tcMar>
            <w:vAlign w:val="center"/>
            <w:hideMark/>
          </w:tcPr>
          <w:p w14:paraId="455E7905" w14:textId="77777777" w:rsidR="00221BE2" w:rsidRPr="00E619C8" w:rsidRDefault="00221BE2" w:rsidP="00FC1D48">
            <w:pPr>
              <w:spacing w:line="276" w:lineRule="auto"/>
              <w:jc w:val="center"/>
              <w:rPr>
                <w:rFonts w:ascii="Arial" w:hAnsi="Arial" w:cs="Arial"/>
                <w:b/>
                <w:bCs/>
                <w:color w:val="FFFFFF"/>
                <w:sz w:val="22"/>
                <w:szCs w:val="22"/>
              </w:rPr>
            </w:pPr>
            <w:r w:rsidRPr="00E619C8">
              <w:rPr>
                <w:rFonts w:ascii="Arial" w:hAnsi="Arial" w:cs="Arial"/>
                <w:b/>
                <w:bCs/>
                <w:color w:val="FFFFFF"/>
                <w:sz w:val="22"/>
                <w:szCs w:val="22"/>
              </w:rPr>
              <w:t>Budget Category</w:t>
            </w:r>
          </w:p>
        </w:tc>
        <w:tc>
          <w:tcPr>
            <w:tcW w:w="2260" w:type="dxa"/>
            <w:tcBorders>
              <w:top w:val="single" w:sz="4" w:space="0" w:color="auto"/>
              <w:left w:val="nil"/>
              <w:bottom w:val="single" w:sz="4" w:space="0" w:color="auto"/>
              <w:right w:val="single" w:sz="4" w:space="0" w:color="auto"/>
            </w:tcBorders>
            <w:shd w:val="clear" w:color="auto" w:fill="C00000"/>
            <w:noWrap/>
            <w:tcMar>
              <w:top w:w="15" w:type="dxa"/>
              <w:left w:w="15" w:type="dxa"/>
              <w:bottom w:w="0" w:type="dxa"/>
              <w:right w:w="15" w:type="dxa"/>
            </w:tcMar>
            <w:vAlign w:val="center"/>
            <w:hideMark/>
          </w:tcPr>
          <w:p w14:paraId="5455891C" w14:textId="77777777" w:rsidR="00221BE2" w:rsidRPr="00E619C8" w:rsidRDefault="00221BE2" w:rsidP="00FC1D48">
            <w:pPr>
              <w:spacing w:line="276" w:lineRule="auto"/>
              <w:jc w:val="center"/>
              <w:rPr>
                <w:rFonts w:ascii="Arial" w:hAnsi="Arial" w:cs="Arial"/>
                <w:b/>
                <w:bCs/>
                <w:color w:val="FFFFFF"/>
                <w:sz w:val="22"/>
                <w:szCs w:val="22"/>
              </w:rPr>
            </w:pPr>
            <w:r w:rsidRPr="00E619C8">
              <w:rPr>
                <w:rFonts w:ascii="Arial" w:hAnsi="Arial" w:cs="Arial"/>
                <w:b/>
                <w:bCs/>
                <w:color w:val="FFFFFF"/>
                <w:sz w:val="22"/>
                <w:szCs w:val="22"/>
              </w:rPr>
              <w:t>Average of ITI Score</w:t>
            </w:r>
          </w:p>
        </w:tc>
      </w:tr>
      <w:tr w:rsidR="00221BE2" w:rsidRPr="00E619C8" w14:paraId="6517FC6B" w14:textId="77777777" w:rsidTr="00FC1D48">
        <w:trPr>
          <w:trHeight w:val="288"/>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0E50FAE0"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High</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3B515F3"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36.68</w:t>
            </w:r>
          </w:p>
        </w:tc>
      </w:tr>
      <w:tr w:rsidR="00221BE2" w:rsidRPr="00E619C8" w14:paraId="3C13943F" w14:textId="77777777" w:rsidTr="00FC1D48">
        <w:trPr>
          <w:trHeight w:val="288"/>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643B7959"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Low</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8AB3B6C"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32.45</w:t>
            </w:r>
          </w:p>
        </w:tc>
      </w:tr>
      <w:tr w:rsidR="00221BE2" w:rsidRPr="00E619C8" w14:paraId="6C1C3836" w14:textId="77777777" w:rsidTr="00FC1D48">
        <w:trPr>
          <w:trHeight w:val="288"/>
          <w:jc w:val="center"/>
        </w:trPr>
        <w:tc>
          <w:tcPr>
            <w:tcW w:w="0" w:type="auto"/>
            <w:tcBorders>
              <w:top w:val="nil"/>
              <w:left w:val="single" w:sz="4" w:space="0" w:color="auto"/>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562B11F2"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Medium</w:t>
            </w:r>
          </w:p>
        </w:tc>
        <w:tc>
          <w:tcPr>
            <w:tcW w:w="0" w:type="auto"/>
            <w:tcBorders>
              <w:top w:val="nil"/>
              <w:left w:val="nil"/>
              <w:bottom w:val="single" w:sz="4" w:space="0" w:color="auto"/>
              <w:right w:val="single" w:sz="4" w:space="0" w:color="auto"/>
            </w:tcBorders>
            <w:shd w:val="clear" w:color="000000" w:fill="FFFFFF"/>
            <w:noWrap/>
            <w:tcMar>
              <w:top w:w="15" w:type="dxa"/>
              <w:left w:w="15" w:type="dxa"/>
              <w:bottom w:w="0" w:type="dxa"/>
              <w:right w:w="15" w:type="dxa"/>
            </w:tcMar>
            <w:vAlign w:val="bottom"/>
            <w:hideMark/>
          </w:tcPr>
          <w:p w14:paraId="4D5C61AE"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45.37</w:t>
            </w:r>
          </w:p>
        </w:tc>
      </w:tr>
      <w:tr w:rsidR="00221BE2" w:rsidRPr="00E619C8" w14:paraId="27A54C0D" w14:textId="77777777" w:rsidTr="00FC1D48">
        <w:trPr>
          <w:trHeight w:val="288"/>
          <w:jc w:val="center"/>
        </w:trPr>
        <w:tc>
          <w:tcPr>
            <w:tcW w:w="0" w:type="auto"/>
            <w:tcBorders>
              <w:top w:val="nil"/>
              <w:left w:val="single" w:sz="4" w:space="0" w:color="auto"/>
              <w:bottom w:val="single" w:sz="4" w:space="0" w:color="auto"/>
              <w:right w:val="single" w:sz="4" w:space="0" w:color="auto"/>
            </w:tcBorders>
            <w:noWrap/>
            <w:tcMar>
              <w:top w:w="15" w:type="dxa"/>
              <w:left w:w="15" w:type="dxa"/>
              <w:bottom w:w="0" w:type="dxa"/>
              <w:right w:w="15" w:type="dxa"/>
            </w:tcMar>
            <w:vAlign w:val="bottom"/>
            <w:hideMark/>
          </w:tcPr>
          <w:p w14:paraId="11A54DF4"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Average</w:t>
            </w:r>
          </w:p>
        </w:tc>
        <w:tc>
          <w:tcPr>
            <w:tcW w:w="0" w:type="auto"/>
            <w:tcBorders>
              <w:top w:val="nil"/>
              <w:left w:val="nil"/>
              <w:bottom w:val="single" w:sz="4" w:space="0" w:color="auto"/>
              <w:right w:val="single" w:sz="4" w:space="0" w:color="auto"/>
            </w:tcBorders>
            <w:noWrap/>
            <w:tcMar>
              <w:top w:w="15" w:type="dxa"/>
              <w:left w:w="15" w:type="dxa"/>
              <w:bottom w:w="0" w:type="dxa"/>
              <w:right w:w="15" w:type="dxa"/>
            </w:tcMar>
            <w:vAlign w:val="bottom"/>
            <w:hideMark/>
          </w:tcPr>
          <w:p w14:paraId="0DAC577F"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36.74</w:t>
            </w:r>
          </w:p>
        </w:tc>
      </w:tr>
    </w:tbl>
    <w:p w14:paraId="701A5719" w14:textId="59E96D65" w:rsidR="002033A5" w:rsidRPr="00E619C8" w:rsidRDefault="00E113EC">
      <w:pPr>
        <w:spacing w:before="240" w:after="240" w:line="300" w:lineRule="auto"/>
        <w:jc w:val="center"/>
        <w:rPr>
          <w:rFonts w:ascii="Arial" w:eastAsia="Arial" w:hAnsi="Arial" w:cs="Arial"/>
          <w:sz w:val="20"/>
          <w:szCs w:val="20"/>
        </w:rPr>
      </w:pPr>
      <w:r w:rsidRPr="00E619C8">
        <w:rPr>
          <w:rFonts w:ascii="Arial" w:eastAsia="Arial" w:hAnsi="Arial" w:cs="Arial"/>
          <w:sz w:val="20"/>
          <w:szCs w:val="20"/>
        </w:rPr>
        <w:t xml:space="preserve">Table </w:t>
      </w:r>
      <w:r w:rsidR="00DD0F1A" w:rsidRPr="00E619C8">
        <w:rPr>
          <w:rFonts w:ascii="Arial" w:eastAsia="Arial" w:hAnsi="Arial" w:cs="Arial"/>
          <w:sz w:val="20"/>
          <w:szCs w:val="20"/>
        </w:rPr>
        <w:t>8</w:t>
      </w:r>
      <w:r w:rsidRPr="00E619C8">
        <w:rPr>
          <w:rFonts w:ascii="Arial" w:eastAsia="Arial" w:hAnsi="Arial" w:cs="Arial"/>
          <w:sz w:val="20"/>
          <w:szCs w:val="20"/>
        </w:rPr>
        <w:t>. Average ITI Scores by Budget Category</w:t>
      </w:r>
    </w:p>
    <w:p w14:paraId="3D8C53FE" w14:textId="60056AF3" w:rsidR="002033A5" w:rsidRPr="00E619C8" w:rsidRDefault="00221BE2" w:rsidP="00FC1D48">
      <w:pPr>
        <w:spacing w:before="240" w:after="240" w:line="300" w:lineRule="auto"/>
        <w:jc w:val="center"/>
        <w:rPr>
          <w:rFonts w:ascii="Arial" w:eastAsia="Arial" w:hAnsi="Arial" w:cs="Arial"/>
          <w:b/>
          <w:bCs/>
          <w:color w:val="C00000"/>
          <w:sz w:val="22"/>
          <w:szCs w:val="22"/>
        </w:rPr>
      </w:pPr>
      <w:r w:rsidRPr="00E619C8">
        <w:rPr>
          <w:noProof/>
        </w:rPr>
        <w:drawing>
          <wp:inline distT="0" distB="0" distL="0" distR="0" wp14:anchorId="6A7A737F" wp14:editId="55C8903C">
            <wp:extent cx="4572448" cy="2743199"/>
            <wp:effectExtent l="0" t="0" r="0" b="635"/>
            <wp:docPr id="339370010" name="Chart 1">
              <a:extLst xmlns:a="http://schemas.openxmlformats.org/drawingml/2006/main">
                <a:ext uri="{FF2B5EF4-FFF2-40B4-BE49-F238E27FC236}">
                  <a16:creationId xmlns:a16="http://schemas.microsoft.com/office/drawing/2014/main" id="{150332C5-B3B4-4ABD-92DE-BBB6A0F72B88}"/>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14:paraId="4B7EFF21" w14:textId="685342C1" w:rsidR="002033A5" w:rsidRPr="00E619C8" w:rsidRDefault="00E113EC">
      <w:pPr>
        <w:pBdr>
          <w:top w:val="nil"/>
          <w:left w:val="nil"/>
          <w:bottom w:val="nil"/>
          <w:right w:val="nil"/>
          <w:between w:val="nil"/>
        </w:pBdr>
        <w:spacing w:after="160" w:line="300" w:lineRule="auto"/>
        <w:jc w:val="center"/>
        <w:rPr>
          <w:rFonts w:ascii="Arial" w:eastAsia="Arial" w:hAnsi="Arial" w:cs="Arial"/>
          <w:sz w:val="20"/>
          <w:szCs w:val="20"/>
        </w:rPr>
      </w:pPr>
      <w:r w:rsidRPr="00E619C8">
        <w:rPr>
          <w:rFonts w:ascii="Arial" w:eastAsia="Arial" w:hAnsi="Arial" w:cs="Arial"/>
          <w:sz w:val="20"/>
          <w:szCs w:val="20"/>
        </w:rPr>
        <w:t xml:space="preserve">Figure </w:t>
      </w:r>
      <w:r w:rsidR="00EB65C4" w:rsidRPr="00E619C8">
        <w:rPr>
          <w:rFonts w:ascii="Arial" w:eastAsia="Arial" w:hAnsi="Arial" w:cs="Arial"/>
          <w:sz w:val="20"/>
          <w:szCs w:val="20"/>
        </w:rPr>
        <w:t>9</w:t>
      </w:r>
      <w:r w:rsidRPr="00E619C8">
        <w:rPr>
          <w:rFonts w:ascii="Arial" w:eastAsia="Arial" w:hAnsi="Arial" w:cs="Arial"/>
          <w:sz w:val="20"/>
          <w:szCs w:val="20"/>
        </w:rPr>
        <w:t>. Average ITI Score by Budget Category</w:t>
      </w:r>
    </w:p>
    <w:p w14:paraId="620E763E" w14:textId="1B79D817"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Figure </w:t>
      </w:r>
      <w:r w:rsidR="00EB65C4" w:rsidRPr="00E619C8">
        <w:rPr>
          <w:rFonts w:ascii="Arial" w:eastAsia="Arial" w:hAnsi="Arial" w:cs="Arial"/>
          <w:sz w:val="22"/>
          <w:szCs w:val="22"/>
        </w:rPr>
        <w:t>9</w:t>
      </w:r>
      <w:r w:rsidR="00DD0F1A" w:rsidRPr="00E619C8">
        <w:rPr>
          <w:rFonts w:ascii="Arial" w:eastAsia="Arial" w:hAnsi="Arial" w:cs="Arial"/>
          <w:sz w:val="22"/>
          <w:szCs w:val="22"/>
        </w:rPr>
        <w:t xml:space="preserve"> </w:t>
      </w:r>
      <w:r w:rsidRPr="00E619C8">
        <w:rPr>
          <w:rFonts w:ascii="Arial" w:eastAsia="Arial" w:hAnsi="Arial" w:cs="Arial"/>
          <w:sz w:val="22"/>
          <w:szCs w:val="22"/>
        </w:rPr>
        <w:t xml:space="preserve">shows the average ITI score by budget category. Procuring entities with medium </w:t>
      </w:r>
      <w:r w:rsidR="00564F53">
        <w:rPr>
          <w:rFonts w:ascii="Arial" w:eastAsia="Arial" w:hAnsi="Arial" w:cs="Arial"/>
          <w:sz w:val="22"/>
          <w:szCs w:val="22"/>
        </w:rPr>
        <w:t xml:space="preserve">budgets achieved the highest average ITI score, followed by high-budget entities, while low-budget entities recorded the lowest average ITI </w:t>
      </w:r>
      <w:r w:rsidRPr="00E619C8">
        <w:rPr>
          <w:rFonts w:ascii="Arial" w:eastAsia="Arial" w:hAnsi="Arial" w:cs="Arial"/>
          <w:sz w:val="22"/>
          <w:szCs w:val="22"/>
        </w:rPr>
        <w:t>score.</w:t>
      </w:r>
    </w:p>
    <w:p w14:paraId="5FDB1FE2" w14:textId="052805EA"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rPr>
          <w:rFonts w:ascii="Arial" w:eastAsia="Arial" w:hAnsi="Arial" w:cs="Arial"/>
          <w:sz w:val="22"/>
          <w:szCs w:val="22"/>
        </w:rPr>
        <w:t xml:space="preserve">The results show that the Medium-budget group achieved the highest average ITI score (45.37), followed by the High-budget group (36.68) and the Low-budget group (32.45). This indicates that a larger budget does not automatically translate into stronger transparency performance. While high-budget PEs manage larger financial resources, they do not necessarily achieve the highest ITI scores. In contrast, medium-budget PEs appear to perform better in terms of transparency, capacities, and disclosure practices. This may indicate that PEs with moderate budget levels are more effective </w:t>
      </w:r>
      <w:r w:rsidR="00564F53">
        <w:rPr>
          <w:rFonts w:ascii="Arial" w:eastAsia="Arial" w:hAnsi="Arial" w:cs="Arial"/>
          <w:sz w:val="22"/>
          <w:szCs w:val="22"/>
        </w:rPr>
        <w:t>at managing transparency mechanisms, possibly due to lower</w:t>
      </w:r>
      <w:r w:rsidRPr="00E619C8">
        <w:rPr>
          <w:rFonts w:ascii="Arial" w:eastAsia="Arial" w:hAnsi="Arial" w:cs="Arial"/>
          <w:sz w:val="22"/>
          <w:szCs w:val="22"/>
        </w:rPr>
        <w:t xml:space="preserve"> project complexity or more focused institutional capacities.</w:t>
      </w:r>
    </w:p>
    <w:p w14:paraId="74630880" w14:textId="7BFB965B" w:rsidR="002033A5" w:rsidRPr="00E619C8" w:rsidRDefault="00E113EC">
      <w:pPr>
        <w:keepNext/>
        <w:keepLines/>
        <w:spacing w:before="240" w:after="240" w:line="300" w:lineRule="auto"/>
        <w:jc w:val="both"/>
        <w:rPr>
          <w:rFonts w:ascii="Arial" w:eastAsia="Arial" w:hAnsi="Arial" w:cs="Arial"/>
          <w:b/>
          <w:bCs/>
          <w:color w:val="C00000"/>
          <w:sz w:val="22"/>
          <w:szCs w:val="22"/>
        </w:rPr>
      </w:pPr>
      <w:bookmarkStart w:id="27" w:name="_heading=h.6q160bxs1vxd" w:colFirst="0" w:colLast="0"/>
      <w:bookmarkEnd w:id="27"/>
      <w:r w:rsidRPr="00E619C8">
        <w:rPr>
          <w:rFonts w:ascii="Arial" w:eastAsia="Arial" w:hAnsi="Arial" w:cs="Arial"/>
          <w:sz w:val="22"/>
          <w:szCs w:val="22"/>
        </w:rPr>
        <w:t xml:space="preserve">The results imply that improving transparency is not solely a matter of increasing financial </w:t>
      </w:r>
      <w:r w:rsidR="004819ED" w:rsidRPr="00E619C8">
        <w:rPr>
          <w:rFonts w:ascii="Arial" w:eastAsia="Arial" w:hAnsi="Arial" w:cs="Arial"/>
          <w:sz w:val="22"/>
          <w:szCs w:val="22"/>
        </w:rPr>
        <w:t>resources but</w:t>
      </w:r>
      <w:r w:rsidRPr="00E619C8">
        <w:rPr>
          <w:rFonts w:ascii="Arial" w:eastAsia="Arial" w:hAnsi="Arial" w:cs="Arial"/>
          <w:sz w:val="22"/>
          <w:szCs w:val="22"/>
        </w:rPr>
        <w:t xml:space="preserve"> rather depends on how effectively PEs allocate their capacities, processes, and governance practices. Therefore, policy interventions aimed at improving transparency should not only target </w:t>
      </w:r>
      <w:r w:rsidR="00564F53">
        <w:rPr>
          <w:rFonts w:ascii="Arial" w:eastAsia="Arial" w:hAnsi="Arial" w:cs="Arial"/>
          <w:sz w:val="22"/>
          <w:szCs w:val="22"/>
        </w:rPr>
        <w:t>high-budget</w:t>
      </w:r>
      <w:r w:rsidRPr="00E619C8">
        <w:rPr>
          <w:rFonts w:ascii="Arial" w:eastAsia="Arial" w:hAnsi="Arial" w:cs="Arial"/>
          <w:sz w:val="22"/>
          <w:szCs w:val="22"/>
        </w:rPr>
        <w:t xml:space="preserve"> </w:t>
      </w:r>
      <w:r w:rsidR="00F1415F" w:rsidRPr="00E619C8">
        <w:rPr>
          <w:rFonts w:ascii="Arial" w:eastAsia="Arial" w:hAnsi="Arial" w:cs="Arial"/>
          <w:sz w:val="22"/>
          <w:szCs w:val="22"/>
        </w:rPr>
        <w:t>entities but</w:t>
      </w:r>
      <w:r w:rsidRPr="00E619C8">
        <w:rPr>
          <w:rFonts w:ascii="Arial" w:eastAsia="Arial" w:hAnsi="Arial" w:cs="Arial"/>
          <w:sz w:val="22"/>
          <w:szCs w:val="22"/>
        </w:rPr>
        <w:t xml:space="preserve"> also strengthen institutional capacity and transparency systems across all budget categories.</w:t>
      </w:r>
    </w:p>
    <w:p w14:paraId="164A09D1" w14:textId="03ADDFF5" w:rsidR="002033A5" w:rsidRPr="00E619C8" w:rsidRDefault="00E113EC">
      <w:pPr>
        <w:keepNext/>
        <w:keepLines/>
        <w:pBdr>
          <w:top w:val="nil"/>
          <w:left w:val="nil"/>
          <w:bottom w:val="nil"/>
          <w:right w:val="nil"/>
          <w:between w:val="nil"/>
        </w:pBdr>
        <w:spacing w:before="240" w:after="160" w:line="300" w:lineRule="auto"/>
        <w:jc w:val="both"/>
        <w:rPr>
          <w:rFonts w:ascii="Arial" w:eastAsia="Arial" w:hAnsi="Arial" w:cs="Arial"/>
          <w:b/>
          <w:bCs/>
          <w:color w:val="1E4D78"/>
          <w:sz w:val="22"/>
          <w:szCs w:val="22"/>
        </w:rPr>
      </w:pPr>
      <w:bookmarkStart w:id="28" w:name="_heading=h.cwiubeblmyfy" w:colFirst="0" w:colLast="0"/>
      <w:bookmarkEnd w:id="28"/>
      <w:r w:rsidRPr="00E619C8">
        <w:rPr>
          <w:rFonts w:ascii="Arial" w:eastAsia="Arial" w:hAnsi="Arial" w:cs="Arial"/>
          <w:b/>
          <w:bCs/>
          <w:color w:val="C00000"/>
          <w:sz w:val="22"/>
          <w:szCs w:val="22"/>
        </w:rPr>
        <w:t xml:space="preserve">3.2.2 Results by procuring </w:t>
      </w:r>
      <w:r w:rsidR="00564F53">
        <w:rPr>
          <w:rFonts w:ascii="Arial" w:eastAsia="Arial" w:hAnsi="Arial" w:cs="Arial"/>
          <w:b/>
          <w:bCs/>
          <w:color w:val="C00000"/>
          <w:sz w:val="22"/>
          <w:szCs w:val="22"/>
        </w:rPr>
        <w:t>entity</w:t>
      </w:r>
      <w:r w:rsidRPr="00E619C8">
        <w:rPr>
          <w:rFonts w:ascii="Arial" w:eastAsia="Arial" w:hAnsi="Arial" w:cs="Arial"/>
          <w:b/>
          <w:bCs/>
          <w:color w:val="C00000"/>
          <w:sz w:val="22"/>
          <w:szCs w:val="22"/>
        </w:rPr>
        <w:t xml:space="preserve"> type</w:t>
      </w:r>
    </w:p>
    <w:p w14:paraId="31675F62" w14:textId="6AF0F2DB" w:rsidR="002033A5" w:rsidRPr="00E619C8" w:rsidRDefault="00E113EC">
      <w:pPr>
        <w:pBdr>
          <w:top w:val="nil"/>
          <w:left w:val="nil"/>
          <w:bottom w:val="nil"/>
          <w:right w:val="nil"/>
          <w:between w:val="nil"/>
        </w:pBdr>
        <w:spacing w:after="160" w:line="300" w:lineRule="auto"/>
        <w:jc w:val="both"/>
        <w:rPr>
          <w:rFonts w:ascii="Arial" w:eastAsia="Calibri" w:hAnsi="Arial" w:cs="Arial"/>
          <w:sz w:val="22"/>
          <w:szCs w:val="22"/>
        </w:rPr>
      </w:pPr>
      <w:r w:rsidRPr="00E619C8">
        <w:rPr>
          <w:rFonts w:ascii="Arial" w:eastAsia="Calibri" w:hAnsi="Arial" w:cs="Arial"/>
          <w:sz w:val="22"/>
          <w:szCs w:val="22"/>
        </w:rPr>
        <w:t xml:space="preserve">To assess whether transparency performance differs by institutional structure, Procuring Entities (PEs) were grouped into four type </w:t>
      </w:r>
      <w:r w:rsidR="004819ED" w:rsidRPr="00E619C8">
        <w:rPr>
          <w:rFonts w:ascii="Arial" w:eastAsia="Calibri" w:hAnsi="Arial" w:cs="Arial"/>
          <w:sz w:val="22"/>
          <w:szCs w:val="22"/>
        </w:rPr>
        <w:t>categories,</w:t>
      </w:r>
      <w:r w:rsidRPr="00E619C8">
        <w:rPr>
          <w:rFonts w:ascii="Arial" w:eastAsia="Calibri" w:hAnsi="Arial" w:cs="Arial"/>
          <w:sz w:val="22"/>
          <w:szCs w:val="22"/>
        </w:rPr>
        <w:t xml:space="preserve"> and the average ITI score was calculated for each category.</w:t>
      </w:r>
    </w:p>
    <w:p w14:paraId="5AA99842" w14:textId="77777777" w:rsidR="00D337EA" w:rsidRPr="00E619C8" w:rsidRDefault="00D337EA">
      <w:pPr>
        <w:pBdr>
          <w:top w:val="nil"/>
          <w:left w:val="nil"/>
          <w:bottom w:val="nil"/>
          <w:right w:val="nil"/>
          <w:between w:val="nil"/>
        </w:pBdr>
        <w:spacing w:after="160" w:line="300" w:lineRule="auto"/>
        <w:jc w:val="both"/>
        <w:rPr>
          <w:rFonts w:ascii="Arial" w:eastAsia="Calibri" w:hAnsi="Arial" w:cs="Arial"/>
          <w:sz w:val="22"/>
          <w:szCs w:val="22"/>
        </w:rPr>
      </w:pPr>
    </w:p>
    <w:tbl>
      <w:tblPr>
        <w:tblW w:w="8995" w:type="dxa"/>
        <w:tblLook w:val="04A0" w:firstRow="1" w:lastRow="0" w:firstColumn="1" w:lastColumn="0" w:noHBand="0" w:noVBand="1"/>
      </w:tblPr>
      <w:tblGrid>
        <w:gridCol w:w="4855"/>
        <w:gridCol w:w="2928"/>
        <w:gridCol w:w="1212"/>
      </w:tblGrid>
      <w:tr w:rsidR="00221BE2" w:rsidRPr="00E619C8" w14:paraId="33B6E63A" w14:textId="77777777" w:rsidTr="00FC1D48">
        <w:trPr>
          <w:trHeight w:val="288"/>
        </w:trPr>
        <w:tc>
          <w:tcPr>
            <w:tcW w:w="4855"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41B274B8" w14:textId="77777777" w:rsidR="00221BE2" w:rsidRPr="00E619C8" w:rsidRDefault="00221BE2" w:rsidP="00FC1D48">
            <w:pPr>
              <w:spacing w:line="276" w:lineRule="auto"/>
              <w:jc w:val="center"/>
              <w:rPr>
                <w:rFonts w:ascii="Arial" w:hAnsi="Arial" w:cs="Arial"/>
                <w:b/>
                <w:bCs/>
                <w:color w:val="FFFFFF"/>
                <w:sz w:val="22"/>
                <w:szCs w:val="22"/>
              </w:rPr>
            </w:pPr>
            <w:r w:rsidRPr="00E619C8">
              <w:rPr>
                <w:rFonts w:ascii="Arial" w:hAnsi="Arial" w:cs="Arial"/>
                <w:b/>
                <w:bCs/>
                <w:color w:val="FFFFFF"/>
                <w:sz w:val="22"/>
                <w:szCs w:val="22"/>
              </w:rPr>
              <w:t>Procuring Entity</w:t>
            </w:r>
          </w:p>
        </w:tc>
        <w:tc>
          <w:tcPr>
            <w:tcW w:w="2928" w:type="dxa"/>
            <w:tcBorders>
              <w:top w:val="single" w:sz="4" w:space="0" w:color="auto"/>
              <w:left w:val="nil"/>
              <w:bottom w:val="single" w:sz="4" w:space="0" w:color="auto"/>
              <w:right w:val="single" w:sz="4" w:space="0" w:color="auto"/>
            </w:tcBorders>
            <w:shd w:val="clear" w:color="auto" w:fill="C00000"/>
            <w:noWrap/>
            <w:vAlign w:val="center"/>
            <w:hideMark/>
          </w:tcPr>
          <w:p w14:paraId="76349793" w14:textId="77777777" w:rsidR="00221BE2" w:rsidRPr="00E619C8" w:rsidRDefault="00221BE2" w:rsidP="00FC1D48">
            <w:pPr>
              <w:spacing w:line="276" w:lineRule="auto"/>
              <w:jc w:val="center"/>
              <w:rPr>
                <w:rFonts w:ascii="Arial" w:hAnsi="Arial" w:cs="Arial"/>
                <w:b/>
                <w:bCs/>
                <w:color w:val="FFFFFF"/>
                <w:sz w:val="22"/>
                <w:szCs w:val="22"/>
              </w:rPr>
            </w:pPr>
            <w:r w:rsidRPr="00E619C8">
              <w:rPr>
                <w:rFonts w:ascii="Arial" w:hAnsi="Arial" w:cs="Arial"/>
                <w:b/>
                <w:bCs/>
                <w:color w:val="FFFFFF"/>
                <w:sz w:val="22"/>
                <w:szCs w:val="22"/>
              </w:rPr>
              <w:t>Type Category</w:t>
            </w:r>
          </w:p>
        </w:tc>
        <w:tc>
          <w:tcPr>
            <w:tcW w:w="1212" w:type="dxa"/>
            <w:tcBorders>
              <w:top w:val="single" w:sz="4" w:space="0" w:color="auto"/>
              <w:left w:val="nil"/>
              <w:bottom w:val="single" w:sz="4" w:space="0" w:color="auto"/>
              <w:right w:val="single" w:sz="4" w:space="0" w:color="auto"/>
            </w:tcBorders>
            <w:shd w:val="clear" w:color="auto" w:fill="C00000"/>
            <w:noWrap/>
            <w:vAlign w:val="center"/>
            <w:hideMark/>
          </w:tcPr>
          <w:p w14:paraId="5AA7CF59" w14:textId="77777777" w:rsidR="00221BE2" w:rsidRPr="00E619C8" w:rsidRDefault="00221BE2" w:rsidP="00FC1D48">
            <w:pPr>
              <w:spacing w:line="276" w:lineRule="auto"/>
              <w:jc w:val="center"/>
              <w:rPr>
                <w:rFonts w:ascii="Arial" w:hAnsi="Arial" w:cs="Arial"/>
                <w:b/>
                <w:bCs/>
                <w:color w:val="FFFFFF"/>
                <w:sz w:val="22"/>
                <w:szCs w:val="22"/>
              </w:rPr>
            </w:pPr>
            <w:r w:rsidRPr="00E619C8">
              <w:rPr>
                <w:rFonts w:ascii="Arial" w:hAnsi="Arial" w:cs="Arial"/>
                <w:b/>
                <w:bCs/>
                <w:color w:val="FFFFFF"/>
                <w:sz w:val="22"/>
                <w:szCs w:val="22"/>
              </w:rPr>
              <w:t>Average ITI Score</w:t>
            </w:r>
          </w:p>
        </w:tc>
      </w:tr>
      <w:tr w:rsidR="00221BE2" w:rsidRPr="00E619C8" w14:paraId="30B1EA11" w14:textId="77777777" w:rsidTr="00FC1D48">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59EC596A"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Badan Pengelolaan Pendapatan Daerah</w:t>
            </w:r>
          </w:p>
        </w:tc>
        <w:tc>
          <w:tcPr>
            <w:tcW w:w="2928" w:type="dxa"/>
            <w:tcBorders>
              <w:top w:val="nil"/>
              <w:left w:val="nil"/>
              <w:bottom w:val="single" w:sz="4" w:space="0" w:color="auto"/>
              <w:right w:val="single" w:sz="4" w:space="0" w:color="auto"/>
            </w:tcBorders>
            <w:shd w:val="clear" w:color="000000" w:fill="FFFFFF"/>
            <w:noWrap/>
            <w:vAlign w:val="center"/>
            <w:hideMark/>
          </w:tcPr>
          <w:p w14:paraId="5B2F1072"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Revenue and Financial Agencies</w:t>
            </w:r>
          </w:p>
        </w:tc>
        <w:tc>
          <w:tcPr>
            <w:tcW w:w="1212" w:type="dxa"/>
            <w:tcBorders>
              <w:top w:val="nil"/>
              <w:left w:val="nil"/>
              <w:bottom w:val="single" w:sz="4" w:space="0" w:color="auto"/>
              <w:right w:val="single" w:sz="4" w:space="0" w:color="auto"/>
            </w:tcBorders>
            <w:noWrap/>
            <w:vAlign w:val="center"/>
            <w:hideMark/>
          </w:tcPr>
          <w:p w14:paraId="3796D68E"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42.38</w:t>
            </w:r>
          </w:p>
        </w:tc>
      </w:tr>
      <w:tr w:rsidR="00221BE2" w:rsidRPr="00E619C8" w14:paraId="7BC80815" w14:textId="77777777" w:rsidTr="00FC1D48">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346D57E8"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Kelautan dan Perikanan</w:t>
            </w:r>
          </w:p>
        </w:tc>
        <w:tc>
          <w:tcPr>
            <w:tcW w:w="2928" w:type="dxa"/>
            <w:vMerge w:val="restart"/>
            <w:tcBorders>
              <w:top w:val="nil"/>
              <w:left w:val="single" w:sz="4" w:space="0" w:color="auto"/>
              <w:bottom w:val="single" w:sz="4" w:space="0" w:color="auto"/>
              <w:right w:val="single" w:sz="4" w:space="0" w:color="auto"/>
            </w:tcBorders>
            <w:shd w:val="clear" w:color="000000" w:fill="FFFFFF"/>
            <w:noWrap/>
            <w:vAlign w:val="center"/>
            <w:hideMark/>
          </w:tcPr>
          <w:p w14:paraId="61D22EEE"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Local Government Agencies (Dinas)</w:t>
            </w:r>
          </w:p>
        </w:tc>
        <w:tc>
          <w:tcPr>
            <w:tcW w:w="1212" w:type="dxa"/>
            <w:vMerge w:val="restart"/>
            <w:tcBorders>
              <w:top w:val="nil"/>
              <w:left w:val="single" w:sz="4" w:space="0" w:color="auto"/>
              <w:bottom w:val="single" w:sz="4" w:space="0" w:color="auto"/>
              <w:right w:val="single" w:sz="4" w:space="0" w:color="auto"/>
            </w:tcBorders>
            <w:noWrap/>
            <w:vAlign w:val="center"/>
            <w:hideMark/>
          </w:tcPr>
          <w:p w14:paraId="575F3D85"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36.68</w:t>
            </w:r>
          </w:p>
        </w:tc>
      </w:tr>
      <w:tr w:rsidR="00221BE2" w:rsidRPr="00E619C8" w14:paraId="05D8B745" w14:textId="77777777" w:rsidTr="00FC1D48">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43EAF5A1"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Koperasi Usaha Kecil dan Menengah</w:t>
            </w:r>
          </w:p>
        </w:tc>
        <w:tc>
          <w:tcPr>
            <w:tcW w:w="2928" w:type="dxa"/>
            <w:vMerge/>
            <w:tcBorders>
              <w:top w:val="nil"/>
              <w:left w:val="single" w:sz="4" w:space="0" w:color="auto"/>
              <w:bottom w:val="single" w:sz="4" w:space="0" w:color="auto"/>
              <w:right w:val="single" w:sz="4" w:space="0" w:color="auto"/>
            </w:tcBorders>
            <w:vAlign w:val="center"/>
            <w:hideMark/>
          </w:tcPr>
          <w:p w14:paraId="27DDFFD3" w14:textId="77777777" w:rsidR="00221BE2" w:rsidRPr="00E619C8" w:rsidRDefault="00221BE2" w:rsidP="00FC1D48">
            <w:pPr>
              <w:spacing w:line="276" w:lineRule="auto"/>
              <w:rPr>
                <w:rFonts w:ascii="Arial" w:hAnsi="Arial" w:cs="Arial"/>
                <w:color w:val="000000"/>
                <w:sz w:val="22"/>
                <w:szCs w:val="22"/>
              </w:rPr>
            </w:pPr>
          </w:p>
        </w:tc>
        <w:tc>
          <w:tcPr>
            <w:tcW w:w="1212" w:type="dxa"/>
            <w:vMerge/>
            <w:tcBorders>
              <w:top w:val="nil"/>
              <w:left w:val="single" w:sz="4" w:space="0" w:color="auto"/>
              <w:bottom w:val="single" w:sz="4" w:space="0" w:color="auto"/>
              <w:right w:val="single" w:sz="4" w:space="0" w:color="auto"/>
            </w:tcBorders>
            <w:vAlign w:val="center"/>
            <w:hideMark/>
          </w:tcPr>
          <w:p w14:paraId="0AAC0F6E" w14:textId="77777777" w:rsidR="00221BE2" w:rsidRPr="00E619C8" w:rsidRDefault="00221BE2" w:rsidP="00FC1D48">
            <w:pPr>
              <w:spacing w:line="276" w:lineRule="auto"/>
              <w:rPr>
                <w:rFonts w:ascii="Arial" w:hAnsi="Arial" w:cs="Arial"/>
                <w:color w:val="000000"/>
                <w:sz w:val="22"/>
                <w:szCs w:val="22"/>
              </w:rPr>
            </w:pPr>
          </w:p>
        </w:tc>
      </w:tr>
      <w:tr w:rsidR="00221BE2" w:rsidRPr="00E619C8" w14:paraId="4835DCDE" w14:textId="77777777" w:rsidTr="00FC1D48">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65FB9068"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Lingkungan Hidup dan Kehutanan</w:t>
            </w:r>
          </w:p>
        </w:tc>
        <w:tc>
          <w:tcPr>
            <w:tcW w:w="2928" w:type="dxa"/>
            <w:vMerge/>
            <w:tcBorders>
              <w:top w:val="nil"/>
              <w:left w:val="single" w:sz="4" w:space="0" w:color="auto"/>
              <w:bottom w:val="single" w:sz="4" w:space="0" w:color="auto"/>
              <w:right w:val="single" w:sz="4" w:space="0" w:color="auto"/>
            </w:tcBorders>
            <w:vAlign w:val="center"/>
            <w:hideMark/>
          </w:tcPr>
          <w:p w14:paraId="7EDFC46A" w14:textId="77777777" w:rsidR="00221BE2" w:rsidRPr="00E619C8" w:rsidRDefault="00221BE2" w:rsidP="00FC1D48">
            <w:pPr>
              <w:spacing w:line="276" w:lineRule="auto"/>
              <w:rPr>
                <w:rFonts w:ascii="Arial" w:hAnsi="Arial" w:cs="Arial"/>
                <w:color w:val="000000"/>
                <w:sz w:val="22"/>
                <w:szCs w:val="22"/>
              </w:rPr>
            </w:pPr>
          </w:p>
        </w:tc>
        <w:tc>
          <w:tcPr>
            <w:tcW w:w="1212" w:type="dxa"/>
            <w:vMerge/>
            <w:tcBorders>
              <w:top w:val="nil"/>
              <w:left w:val="single" w:sz="4" w:space="0" w:color="auto"/>
              <w:bottom w:val="single" w:sz="4" w:space="0" w:color="auto"/>
              <w:right w:val="single" w:sz="4" w:space="0" w:color="auto"/>
            </w:tcBorders>
            <w:vAlign w:val="center"/>
            <w:hideMark/>
          </w:tcPr>
          <w:p w14:paraId="697F0028" w14:textId="77777777" w:rsidR="00221BE2" w:rsidRPr="00E619C8" w:rsidRDefault="00221BE2" w:rsidP="00FC1D48">
            <w:pPr>
              <w:spacing w:line="276" w:lineRule="auto"/>
              <w:rPr>
                <w:rFonts w:ascii="Arial" w:hAnsi="Arial" w:cs="Arial"/>
                <w:color w:val="000000"/>
                <w:sz w:val="22"/>
                <w:szCs w:val="22"/>
              </w:rPr>
            </w:pPr>
          </w:p>
        </w:tc>
      </w:tr>
      <w:tr w:rsidR="00221BE2" w:rsidRPr="00E619C8" w14:paraId="6F6AA765" w14:textId="77777777" w:rsidTr="00FC1D48">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5566FE6C"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Pariwisata</w:t>
            </w:r>
          </w:p>
        </w:tc>
        <w:tc>
          <w:tcPr>
            <w:tcW w:w="2928" w:type="dxa"/>
            <w:vMerge/>
            <w:tcBorders>
              <w:top w:val="nil"/>
              <w:left w:val="single" w:sz="4" w:space="0" w:color="auto"/>
              <w:bottom w:val="single" w:sz="4" w:space="0" w:color="auto"/>
              <w:right w:val="single" w:sz="4" w:space="0" w:color="auto"/>
            </w:tcBorders>
            <w:vAlign w:val="center"/>
            <w:hideMark/>
          </w:tcPr>
          <w:p w14:paraId="6B3B63E7" w14:textId="77777777" w:rsidR="00221BE2" w:rsidRPr="00E619C8" w:rsidRDefault="00221BE2" w:rsidP="00FC1D48">
            <w:pPr>
              <w:spacing w:line="276" w:lineRule="auto"/>
              <w:rPr>
                <w:rFonts w:ascii="Arial" w:hAnsi="Arial" w:cs="Arial"/>
                <w:color w:val="000000"/>
                <w:sz w:val="22"/>
                <w:szCs w:val="22"/>
              </w:rPr>
            </w:pPr>
          </w:p>
        </w:tc>
        <w:tc>
          <w:tcPr>
            <w:tcW w:w="1212" w:type="dxa"/>
            <w:vMerge/>
            <w:tcBorders>
              <w:top w:val="nil"/>
              <w:left w:val="single" w:sz="4" w:space="0" w:color="auto"/>
              <w:bottom w:val="single" w:sz="4" w:space="0" w:color="auto"/>
              <w:right w:val="single" w:sz="4" w:space="0" w:color="auto"/>
            </w:tcBorders>
            <w:vAlign w:val="center"/>
            <w:hideMark/>
          </w:tcPr>
          <w:p w14:paraId="6074799F" w14:textId="77777777" w:rsidR="00221BE2" w:rsidRPr="00E619C8" w:rsidRDefault="00221BE2" w:rsidP="00FC1D48">
            <w:pPr>
              <w:spacing w:line="276" w:lineRule="auto"/>
              <w:rPr>
                <w:rFonts w:ascii="Arial" w:hAnsi="Arial" w:cs="Arial"/>
                <w:color w:val="000000"/>
                <w:sz w:val="22"/>
                <w:szCs w:val="22"/>
              </w:rPr>
            </w:pPr>
          </w:p>
        </w:tc>
      </w:tr>
      <w:tr w:rsidR="00221BE2" w:rsidRPr="00E619C8" w14:paraId="12D1AFF9" w14:textId="77777777" w:rsidTr="00FC1D48">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69A4B757"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Pekerjaan Umum dan Penataan Ruang</w:t>
            </w:r>
          </w:p>
        </w:tc>
        <w:tc>
          <w:tcPr>
            <w:tcW w:w="2928" w:type="dxa"/>
            <w:vMerge/>
            <w:tcBorders>
              <w:top w:val="nil"/>
              <w:left w:val="single" w:sz="4" w:space="0" w:color="auto"/>
              <w:bottom w:val="single" w:sz="4" w:space="0" w:color="auto"/>
              <w:right w:val="single" w:sz="4" w:space="0" w:color="auto"/>
            </w:tcBorders>
            <w:vAlign w:val="center"/>
            <w:hideMark/>
          </w:tcPr>
          <w:p w14:paraId="6F1A62F0" w14:textId="77777777" w:rsidR="00221BE2" w:rsidRPr="00E619C8" w:rsidRDefault="00221BE2" w:rsidP="00FC1D48">
            <w:pPr>
              <w:spacing w:line="276" w:lineRule="auto"/>
              <w:rPr>
                <w:rFonts w:ascii="Arial" w:hAnsi="Arial" w:cs="Arial"/>
                <w:color w:val="000000"/>
                <w:sz w:val="22"/>
                <w:szCs w:val="22"/>
              </w:rPr>
            </w:pPr>
          </w:p>
        </w:tc>
        <w:tc>
          <w:tcPr>
            <w:tcW w:w="1212" w:type="dxa"/>
            <w:vMerge/>
            <w:tcBorders>
              <w:top w:val="nil"/>
              <w:left w:val="single" w:sz="4" w:space="0" w:color="auto"/>
              <w:bottom w:val="single" w:sz="4" w:space="0" w:color="auto"/>
              <w:right w:val="single" w:sz="4" w:space="0" w:color="auto"/>
            </w:tcBorders>
            <w:vAlign w:val="center"/>
            <w:hideMark/>
          </w:tcPr>
          <w:p w14:paraId="62528553" w14:textId="77777777" w:rsidR="00221BE2" w:rsidRPr="00E619C8" w:rsidRDefault="00221BE2" w:rsidP="00FC1D48">
            <w:pPr>
              <w:spacing w:line="276" w:lineRule="auto"/>
              <w:rPr>
                <w:rFonts w:ascii="Arial" w:hAnsi="Arial" w:cs="Arial"/>
                <w:color w:val="000000"/>
                <w:sz w:val="22"/>
                <w:szCs w:val="22"/>
              </w:rPr>
            </w:pPr>
          </w:p>
        </w:tc>
      </w:tr>
      <w:tr w:rsidR="00221BE2" w:rsidRPr="00E619C8" w14:paraId="417B9962" w14:textId="77777777" w:rsidTr="00FC1D48">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1158AFBD"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Pekerjaan Umum dan Penataan Ruang (Highway Division)</w:t>
            </w:r>
          </w:p>
        </w:tc>
        <w:tc>
          <w:tcPr>
            <w:tcW w:w="2928" w:type="dxa"/>
            <w:vMerge/>
            <w:tcBorders>
              <w:top w:val="nil"/>
              <w:left w:val="single" w:sz="4" w:space="0" w:color="auto"/>
              <w:bottom w:val="single" w:sz="4" w:space="0" w:color="auto"/>
              <w:right w:val="single" w:sz="4" w:space="0" w:color="auto"/>
            </w:tcBorders>
            <w:vAlign w:val="center"/>
            <w:hideMark/>
          </w:tcPr>
          <w:p w14:paraId="125A95B1" w14:textId="77777777" w:rsidR="00221BE2" w:rsidRPr="00E619C8" w:rsidRDefault="00221BE2" w:rsidP="00FC1D48">
            <w:pPr>
              <w:spacing w:line="276" w:lineRule="auto"/>
              <w:rPr>
                <w:rFonts w:ascii="Arial" w:hAnsi="Arial" w:cs="Arial"/>
                <w:color w:val="000000"/>
                <w:sz w:val="22"/>
                <w:szCs w:val="22"/>
              </w:rPr>
            </w:pPr>
          </w:p>
        </w:tc>
        <w:tc>
          <w:tcPr>
            <w:tcW w:w="1212" w:type="dxa"/>
            <w:vMerge/>
            <w:tcBorders>
              <w:top w:val="nil"/>
              <w:left w:val="single" w:sz="4" w:space="0" w:color="auto"/>
              <w:bottom w:val="single" w:sz="4" w:space="0" w:color="auto"/>
              <w:right w:val="single" w:sz="4" w:space="0" w:color="auto"/>
            </w:tcBorders>
            <w:vAlign w:val="center"/>
            <w:hideMark/>
          </w:tcPr>
          <w:p w14:paraId="382D6B56" w14:textId="77777777" w:rsidR="00221BE2" w:rsidRPr="00E619C8" w:rsidRDefault="00221BE2" w:rsidP="00FC1D48">
            <w:pPr>
              <w:spacing w:line="276" w:lineRule="auto"/>
              <w:rPr>
                <w:rFonts w:ascii="Arial" w:hAnsi="Arial" w:cs="Arial"/>
                <w:color w:val="000000"/>
                <w:sz w:val="22"/>
                <w:szCs w:val="22"/>
              </w:rPr>
            </w:pPr>
          </w:p>
        </w:tc>
      </w:tr>
      <w:tr w:rsidR="00221BE2" w:rsidRPr="00E619C8" w14:paraId="688CE58E" w14:textId="77777777" w:rsidTr="00FC1D48">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3DB827F5"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Pekerjaan Umum dan Penataan Ruang (Water Resources Division)</w:t>
            </w:r>
          </w:p>
        </w:tc>
        <w:tc>
          <w:tcPr>
            <w:tcW w:w="2928" w:type="dxa"/>
            <w:vMerge/>
            <w:tcBorders>
              <w:top w:val="nil"/>
              <w:left w:val="single" w:sz="4" w:space="0" w:color="auto"/>
              <w:bottom w:val="single" w:sz="4" w:space="0" w:color="auto"/>
              <w:right w:val="single" w:sz="4" w:space="0" w:color="auto"/>
            </w:tcBorders>
            <w:vAlign w:val="center"/>
            <w:hideMark/>
          </w:tcPr>
          <w:p w14:paraId="5CE1B64C" w14:textId="77777777" w:rsidR="00221BE2" w:rsidRPr="00E619C8" w:rsidRDefault="00221BE2" w:rsidP="00FC1D48">
            <w:pPr>
              <w:spacing w:line="276" w:lineRule="auto"/>
              <w:rPr>
                <w:rFonts w:ascii="Arial" w:hAnsi="Arial" w:cs="Arial"/>
                <w:color w:val="000000"/>
                <w:sz w:val="22"/>
                <w:szCs w:val="22"/>
              </w:rPr>
            </w:pPr>
          </w:p>
        </w:tc>
        <w:tc>
          <w:tcPr>
            <w:tcW w:w="1212" w:type="dxa"/>
            <w:vMerge/>
            <w:tcBorders>
              <w:top w:val="nil"/>
              <w:left w:val="single" w:sz="4" w:space="0" w:color="auto"/>
              <w:bottom w:val="single" w:sz="4" w:space="0" w:color="auto"/>
              <w:right w:val="single" w:sz="4" w:space="0" w:color="auto"/>
            </w:tcBorders>
            <w:vAlign w:val="center"/>
            <w:hideMark/>
          </w:tcPr>
          <w:p w14:paraId="5A1B68B6" w14:textId="77777777" w:rsidR="00221BE2" w:rsidRPr="00E619C8" w:rsidRDefault="00221BE2" w:rsidP="00FC1D48">
            <w:pPr>
              <w:spacing w:line="276" w:lineRule="auto"/>
              <w:rPr>
                <w:rFonts w:ascii="Arial" w:hAnsi="Arial" w:cs="Arial"/>
                <w:color w:val="000000"/>
                <w:sz w:val="22"/>
                <w:szCs w:val="22"/>
              </w:rPr>
            </w:pPr>
          </w:p>
        </w:tc>
      </w:tr>
      <w:tr w:rsidR="00221BE2" w:rsidRPr="00E619C8" w14:paraId="49B66348" w14:textId="77777777" w:rsidTr="00FC1D48">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004F77D2"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Pemuda dan Olahraga</w:t>
            </w:r>
          </w:p>
        </w:tc>
        <w:tc>
          <w:tcPr>
            <w:tcW w:w="2928" w:type="dxa"/>
            <w:vMerge/>
            <w:tcBorders>
              <w:top w:val="nil"/>
              <w:left w:val="single" w:sz="4" w:space="0" w:color="auto"/>
              <w:bottom w:val="single" w:sz="4" w:space="0" w:color="auto"/>
              <w:right w:val="single" w:sz="4" w:space="0" w:color="auto"/>
            </w:tcBorders>
            <w:vAlign w:val="center"/>
            <w:hideMark/>
          </w:tcPr>
          <w:p w14:paraId="03B450BD" w14:textId="77777777" w:rsidR="00221BE2" w:rsidRPr="00E619C8" w:rsidRDefault="00221BE2" w:rsidP="00FC1D48">
            <w:pPr>
              <w:spacing w:line="276" w:lineRule="auto"/>
              <w:rPr>
                <w:rFonts w:ascii="Arial" w:hAnsi="Arial" w:cs="Arial"/>
                <w:color w:val="000000"/>
                <w:sz w:val="22"/>
                <w:szCs w:val="22"/>
              </w:rPr>
            </w:pPr>
          </w:p>
        </w:tc>
        <w:tc>
          <w:tcPr>
            <w:tcW w:w="1212" w:type="dxa"/>
            <w:vMerge/>
            <w:tcBorders>
              <w:top w:val="nil"/>
              <w:left w:val="single" w:sz="4" w:space="0" w:color="auto"/>
              <w:bottom w:val="single" w:sz="4" w:space="0" w:color="auto"/>
              <w:right w:val="single" w:sz="4" w:space="0" w:color="auto"/>
            </w:tcBorders>
            <w:vAlign w:val="center"/>
            <w:hideMark/>
          </w:tcPr>
          <w:p w14:paraId="378A24E6" w14:textId="77777777" w:rsidR="00221BE2" w:rsidRPr="00E619C8" w:rsidRDefault="00221BE2" w:rsidP="00FC1D48">
            <w:pPr>
              <w:spacing w:line="276" w:lineRule="auto"/>
              <w:rPr>
                <w:rFonts w:ascii="Arial" w:hAnsi="Arial" w:cs="Arial"/>
                <w:color w:val="000000"/>
                <w:sz w:val="22"/>
                <w:szCs w:val="22"/>
              </w:rPr>
            </w:pPr>
          </w:p>
        </w:tc>
      </w:tr>
      <w:tr w:rsidR="00221BE2" w:rsidRPr="00E619C8" w14:paraId="16C46588" w14:textId="77777777" w:rsidTr="00FC1D48">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750B9F0A"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Pendidikan dan Kebudayaan</w:t>
            </w:r>
          </w:p>
        </w:tc>
        <w:tc>
          <w:tcPr>
            <w:tcW w:w="2928" w:type="dxa"/>
            <w:vMerge/>
            <w:tcBorders>
              <w:top w:val="nil"/>
              <w:left w:val="single" w:sz="4" w:space="0" w:color="auto"/>
              <w:bottom w:val="single" w:sz="4" w:space="0" w:color="auto"/>
              <w:right w:val="single" w:sz="4" w:space="0" w:color="auto"/>
            </w:tcBorders>
            <w:vAlign w:val="center"/>
            <w:hideMark/>
          </w:tcPr>
          <w:p w14:paraId="59E13353" w14:textId="77777777" w:rsidR="00221BE2" w:rsidRPr="00E619C8" w:rsidRDefault="00221BE2" w:rsidP="00FC1D48">
            <w:pPr>
              <w:spacing w:line="276" w:lineRule="auto"/>
              <w:rPr>
                <w:rFonts w:ascii="Arial" w:hAnsi="Arial" w:cs="Arial"/>
                <w:color w:val="000000"/>
                <w:sz w:val="22"/>
                <w:szCs w:val="22"/>
              </w:rPr>
            </w:pPr>
          </w:p>
        </w:tc>
        <w:tc>
          <w:tcPr>
            <w:tcW w:w="1212" w:type="dxa"/>
            <w:vMerge/>
            <w:tcBorders>
              <w:top w:val="nil"/>
              <w:left w:val="single" w:sz="4" w:space="0" w:color="auto"/>
              <w:bottom w:val="single" w:sz="4" w:space="0" w:color="auto"/>
              <w:right w:val="single" w:sz="4" w:space="0" w:color="auto"/>
            </w:tcBorders>
            <w:vAlign w:val="center"/>
            <w:hideMark/>
          </w:tcPr>
          <w:p w14:paraId="2F7AD830" w14:textId="77777777" w:rsidR="00221BE2" w:rsidRPr="00E619C8" w:rsidRDefault="00221BE2" w:rsidP="00FC1D48">
            <w:pPr>
              <w:spacing w:line="276" w:lineRule="auto"/>
              <w:rPr>
                <w:rFonts w:ascii="Arial" w:hAnsi="Arial" w:cs="Arial"/>
                <w:color w:val="000000"/>
                <w:sz w:val="22"/>
                <w:szCs w:val="22"/>
              </w:rPr>
            </w:pPr>
          </w:p>
        </w:tc>
      </w:tr>
      <w:tr w:rsidR="00221BE2" w:rsidRPr="00E619C8" w14:paraId="34870F2C" w14:textId="77777777" w:rsidTr="00FC1D48">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0777DFD0"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Perindustrian</w:t>
            </w:r>
          </w:p>
        </w:tc>
        <w:tc>
          <w:tcPr>
            <w:tcW w:w="2928" w:type="dxa"/>
            <w:vMerge/>
            <w:tcBorders>
              <w:top w:val="nil"/>
              <w:left w:val="single" w:sz="4" w:space="0" w:color="auto"/>
              <w:bottom w:val="single" w:sz="4" w:space="0" w:color="auto"/>
              <w:right w:val="single" w:sz="4" w:space="0" w:color="auto"/>
            </w:tcBorders>
            <w:vAlign w:val="center"/>
            <w:hideMark/>
          </w:tcPr>
          <w:p w14:paraId="1CD1D407" w14:textId="77777777" w:rsidR="00221BE2" w:rsidRPr="00E619C8" w:rsidRDefault="00221BE2" w:rsidP="00FC1D48">
            <w:pPr>
              <w:spacing w:line="276" w:lineRule="auto"/>
              <w:rPr>
                <w:rFonts w:ascii="Arial" w:hAnsi="Arial" w:cs="Arial"/>
                <w:color w:val="000000"/>
                <w:sz w:val="22"/>
                <w:szCs w:val="22"/>
              </w:rPr>
            </w:pPr>
          </w:p>
        </w:tc>
        <w:tc>
          <w:tcPr>
            <w:tcW w:w="1212" w:type="dxa"/>
            <w:vMerge/>
            <w:tcBorders>
              <w:top w:val="nil"/>
              <w:left w:val="single" w:sz="4" w:space="0" w:color="auto"/>
              <w:bottom w:val="single" w:sz="4" w:space="0" w:color="auto"/>
              <w:right w:val="single" w:sz="4" w:space="0" w:color="auto"/>
            </w:tcBorders>
            <w:vAlign w:val="center"/>
            <w:hideMark/>
          </w:tcPr>
          <w:p w14:paraId="38BFE37D" w14:textId="77777777" w:rsidR="00221BE2" w:rsidRPr="00E619C8" w:rsidRDefault="00221BE2" w:rsidP="00FC1D48">
            <w:pPr>
              <w:spacing w:line="276" w:lineRule="auto"/>
              <w:rPr>
                <w:rFonts w:ascii="Arial" w:hAnsi="Arial" w:cs="Arial"/>
                <w:color w:val="000000"/>
                <w:sz w:val="22"/>
                <w:szCs w:val="22"/>
              </w:rPr>
            </w:pPr>
          </w:p>
        </w:tc>
      </w:tr>
      <w:tr w:rsidR="00221BE2" w:rsidRPr="00E619C8" w14:paraId="0303DE6B" w14:textId="77777777" w:rsidTr="00FC1D48">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3C5DDFE1"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Perpustakaan dan Kearsipan</w:t>
            </w:r>
          </w:p>
        </w:tc>
        <w:tc>
          <w:tcPr>
            <w:tcW w:w="2928" w:type="dxa"/>
            <w:vMerge/>
            <w:tcBorders>
              <w:top w:val="nil"/>
              <w:left w:val="single" w:sz="4" w:space="0" w:color="auto"/>
              <w:bottom w:val="single" w:sz="4" w:space="0" w:color="auto"/>
              <w:right w:val="single" w:sz="4" w:space="0" w:color="auto"/>
            </w:tcBorders>
            <w:vAlign w:val="center"/>
            <w:hideMark/>
          </w:tcPr>
          <w:p w14:paraId="78628CDB" w14:textId="77777777" w:rsidR="00221BE2" w:rsidRPr="00E619C8" w:rsidRDefault="00221BE2" w:rsidP="00FC1D48">
            <w:pPr>
              <w:spacing w:line="276" w:lineRule="auto"/>
              <w:rPr>
                <w:rFonts w:ascii="Arial" w:hAnsi="Arial" w:cs="Arial"/>
                <w:color w:val="000000"/>
                <w:sz w:val="22"/>
                <w:szCs w:val="22"/>
              </w:rPr>
            </w:pPr>
          </w:p>
        </w:tc>
        <w:tc>
          <w:tcPr>
            <w:tcW w:w="1212" w:type="dxa"/>
            <w:vMerge/>
            <w:tcBorders>
              <w:top w:val="nil"/>
              <w:left w:val="single" w:sz="4" w:space="0" w:color="auto"/>
              <w:bottom w:val="single" w:sz="4" w:space="0" w:color="auto"/>
              <w:right w:val="single" w:sz="4" w:space="0" w:color="auto"/>
            </w:tcBorders>
            <w:vAlign w:val="center"/>
            <w:hideMark/>
          </w:tcPr>
          <w:p w14:paraId="77C2B0C1" w14:textId="77777777" w:rsidR="00221BE2" w:rsidRPr="00E619C8" w:rsidRDefault="00221BE2" w:rsidP="00FC1D48">
            <w:pPr>
              <w:spacing w:line="276" w:lineRule="auto"/>
              <w:rPr>
                <w:rFonts w:ascii="Arial" w:hAnsi="Arial" w:cs="Arial"/>
                <w:color w:val="000000"/>
                <w:sz w:val="22"/>
                <w:szCs w:val="22"/>
              </w:rPr>
            </w:pPr>
          </w:p>
        </w:tc>
      </w:tr>
      <w:tr w:rsidR="00221BE2" w:rsidRPr="00E619C8" w14:paraId="2F161AA9" w14:textId="77777777" w:rsidTr="00FC1D48">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46785D8D"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Pertanian dan Perkebunan</w:t>
            </w:r>
          </w:p>
        </w:tc>
        <w:tc>
          <w:tcPr>
            <w:tcW w:w="2928" w:type="dxa"/>
            <w:vMerge/>
            <w:tcBorders>
              <w:top w:val="nil"/>
              <w:left w:val="single" w:sz="4" w:space="0" w:color="auto"/>
              <w:bottom w:val="single" w:sz="4" w:space="0" w:color="auto"/>
              <w:right w:val="single" w:sz="4" w:space="0" w:color="auto"/>
            </w:tcBorders>
            <w:vAlign w:val="center"/>
            <w:hideMark/>
          </w:tcPr>
          <w:p w14:paraId="12A9CA49" w14:textId="77777777" w:rsidR="00221BE2" w:rsidRPr="00E619C8" w:rsidRDefault="00221BE2" w:rsidP="00FC1D48">
            <w:pPr>
              <w:spacing w:line="276" w:lineRule="auto"/>
              <w:rPr>
                <w:rFonts w:ascii="Arial" w:hAnsi="Arial" w:cs="Arial"/>
                <w:color w:val="000000"/>
                <w:sz w:val="22"/>
                <w:szCs w:val="22"/>
              </w:rPr>
            </w:pPr>
          </w:p>
        </w:tc>
        <w:tc>
          <w:tcPr>
            <w:tcW w:w="1212" w:type="dxa"/>
            <w:vMerge/>
            <w:tcBorders>
              <w:top w:val="nil"/>
              <w:left w:val="single" w:sz="4" w:space="0" w:color="auto"/>
              <w:bottom w:val="single" w:sz="4" w:space="0" w:color="auto"/>
              <w:right w:val="single" w:sz="4" w:space="0" w:color="auto"/>
            </w:tcBorders>
            <w:vAlign w:val="center"/>
            <w:hideMark/>
          </w:tcPr>
          <w:p w14:paraId="16C217C2" w14:textId="77777777" w:rsidR="00221BE2" w:rsidRPr="00E619C8" w:rsidRDefault="00221BE2" w:rsidP="00FC1D48">
            <w:pPr>
              <w:spacing w:line="276" w:lineRule="auto"/>
              <w:rPr>
                <w:rFonts w:ascii="Arial" w:hAnsi="Arial" w:cs="Arial"/>
                <w:color w:val="000000"/>
                <w:sz w:val="22"/>
                <w:szCs w:val="22"/>
              </w:rPr>
            </w:pPr>
          </w:p>
        </w:tc>
      </w:tr>
      <w:tr w:rsidR="00BF461D" w:rsidRPr="00E619C8" w14:paraId="5CE41247" w14:textId="77777777" w:rsidTr="00BF461D">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7E098D2C"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Dinas Perumahan dan Permukiman</w:t>
            </w:r>
          </w:p>
        </w:tc>
        <w:tc>
          <w:tcPr>
            <w:tcW w:w="2928" w:type="dxa"/>
            <w:vMerge/>
            <w:tcBorders>
              <w:top w:val="nil"/>
              <w:left w:val="single" w:sz="4" w:space="0" w:color="auto"/>
              <w:bottom w:val="single" w:sz="4" w:space="0" w:color="auto"/>
              <w:right w:val="single" w:sz="4" w:space="0" w:color="auto"/>
            </w:tcBorders>
            <w:vAlign w:val="center"/>
            <w:hideMark/>
          </w:tcPr>
          <w:p w14:paraId="4F79D1A3" w14:textId="77777777" w:rsidR="00221BE2" w:rsidRPr="00E619C8" w:rsidRDefault="00221BE2" w:rsidP="00FC1D48">
            <w:pPr>
              <w:spacing w:line="276" w:lineRule="auto"/>
              <w:rPr>
                <w:rFonts w:ascii="Arial" w:hAnsi="Arial" w:cs="Arial"/>
                <w:color w:val="000000"/>
                <w:sz w:val="22"/>
                <w:szCs w:val="22"/>
              </w:rPr>
            </w:pPr>
          </w:p>
        </w:tc>
        <w:tc>
          <w:tcPr>
            <w:tcW w:w="1212" w:type="dxa"/>
            <w:vMerge/>
            <w:tcBorders>
              <w:top w:val="nil"/>
              <w:left w:val="single" w:sz="4" w:space="0" w:color="auto"/>
              <w:bottom w:val="single" w:sz="4" w:space="0" w:color="auto"/>
              <w:right w:val="single" w:sz="4" w:space="0" w:color="auto"/>
            </w:tcBorders>
            <w:vAlign w:val="center"/>
            <w:hideMark/>
          </w:tcPr>
          <w:p w14:paraId="0F6C2F69" w14:textId="77777777" w:rsidR="00221BE2" w:rsidRPr="00E619C8" w:rsidRDefault="00221BE2" w:rsidP="00FC1D48">
            <w:pPr>
              <w:spacing w:line="276" w:lineRule="auto"/>
              <w:rPr>
                <w:rFonts w:ascii="Arial" w:hAnsi="Arial" w:cs="Arial"/>
                <w:color w:val="000000"/>
                <w:sz w:val="22"/>
                <w:szCs w:val="22"/>
              </w:rPr>
            </w:pPr>
          </w:p>
        </w:tc>
      </w:tr>
      <w:tr w:rsidR="00BF461D" w:rsidRPr="00E619C8" w14:paraId="72D30479" w14:textId="77777777" w:rsidTr="00BF461D">
        <w:trPr>
          <w:trHeight w:val="288"/>
        </w:trPr>
        <w:tc>
          <w:tcPr>
            <w:tcW w:w="48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3B9C1CA5"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RSUD NTB</w:t>
            </w:r>
          </w:p>
        </w:tc>
        <w:tc>
          <w:tcPr>
            <w:tcW w:w="2928"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6F03C34D"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Public Hospitals</w:t>
            </w:r>
          </w:p>
        </w:tc>
        <w:tc>
          <w:tcPr>
            <w:tcW w:w="1212" w:type="dxa"/>
            <w:vMerge w:val="restart"/>
            <w:tcBorders>
              <w:top w:val="single" w:sz="4" w:space="0" w:color="auto"/>
              <w:left w:val="single" w:sz="4" w:space="0" w:color="auto"/>
              <w:bottom w:val="single" w:sz="4" w:space="0" w:color="auto"/>
              <w:right w:val="single" w:sz="4" w:space="0" w:color="auto"/>
            </w:tcBorders>
            <w:noWrap/>
            <w:vAlign w:val="center"/>
            <w:hideMark/>
          </w:tcPr>
          <w:p w14:paraId="7E68473F"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38.77</w:t>
            </w:r>
          </w:p>
        </w:tc>
      </w:tr>
      <w:tr w:rsidR="00BF461D" w:rsidRPr="00E619C8" w14:paraId="36625DB1" w14:textId="77777777" w:rsidTr="00FC1D48">
        <w:trPr>
          <w:trHeight w:val="288"/>
        </w:trPr>
        <w:tc>
          <w:tcPr>
            <w:tcW w:w="48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BF1D3FB"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Rumah Sakit H. L. Manambai Abdul Kadir</w:t>
            </w:r>
          </w:p>
        </w:tc>
        <w:tc>
          <w:tcPr>
            <w:tcW w:w="2928" w:type="dxa"/>
            <w:vMerge/>
            <w:tcBorders>
              <w:top w:val="single" w:sz="4" w:space="0" w:color="auto"/>
              <w:left w:val="single" w:sz="4" w:space="0" w:color="auto"/>
              <w:bottom w:val="single" w:sz="4" w:space="0" w:color="auto"/>
              <w:right w:val="single" w:sz="4" w:space="0" w:color="auto"/>
            </w:tcBorders>
            <w:vAlign w:val="center"/>
            <w:hideMark/>
          </w:tcPr>
          <w:p w14:paraId="075E2D17" w14:textId="77777777" w:rsidR="00221BE2" w:rsidRPr="00E619C8" w:rsidRDefault="00221BE2" w:rsidP="00FC1D48">
            <w:pPr>
              <w:spacing w:line="276" w:lineRule="auto"/>
              <w:rPr>
                <w:rFonts w:ascii="Arial" w:hAnsi="Arial" w:cs="Arial"/>
                <w:color w:val="000000"/>
                <w:sz w:val="22"/>
                <w:szCs w:val="22"/>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14:paraId="42F46F65" w14:textId="77777777" w:rsidR="00221BE2" w:rsidRPr="00E619C8" w:rsidRDefault="00221BE2" w:rsidP="00FC1D48">
            <w:pPr>
              <w:spacing w:line="276" w:lineRule="auto"/>
              <w:rPr>
                <w:rFonts w:ascii="Arial" w:hAnsi="Arial" w:cs="Arial"/>
                <w:color w:val="000000"/>
                <w:sz w:val="22"/>
                <w:szCs w:val="22"/>
              </w:rPr>
            </w:pPr>
          </w:p>
        </w:tc>
      </w:tr>
      <w:tr w:rsidR="00BF461D" w:rsidRPr="00E619C8" w14:paraId="386053D4" w14:textId="77777777" w:rsidTr="00BF461D">
        <w:trPr>
          <w:trHeight w:val="288"/>
        </w:trPr>
        <w:tc>
          <w:tcPr>
            <w:tcW w:w="48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76B12DA2"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Rumah Sakit Jiwa Mutiara Sukma Provinsi</w:t>
            </w:r>
          </w:p>
        </w:tc>
        <w:tc>
          <w:tcPr>
            <w:tcW w:w="2928" w:type="dxa"/>
            <w:vMerge/>
            <w:tcBorders>
              <w:top w:val="single" w:sz="4" w:space="0" w:color="auto"/>
              <w:left w:val="single" w:sz="4" w:space="0" w:color="auto"/>
              <w:bottom w:val="single" w:sz="4" w:space="0" w:color="auto"/>
              <w:right w:val="single" w:sz="4" w:space="0" w:color="auto"/>
            </w:tcBorders>
            <w:vAlign w:val="center"/>
            <w:hideMark/>
          </w:tcPr>
          <w:p w14:paraId="063093FF" w14:textId="77777777" w:rsidR="00221BE2" w:rsidRPr="00E619C8" w:rsidRDefault="00221BE2" w:rsidP="00FC1D48">
            <w:pPr>
              <w:spacing w:line="276" w:lineRule="auto"/>
              <w:rPr>
                <w:rFonts w:ascii="Arial" w:hAnsi="Arial" w:cs="Arial"/>
                <w:color w:val="000000"/>
                <w:sz w:val="22"/>
                <w:szCs w:val="22"/>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14:paraId="10AA3FBB" w14:textId="77777777" w:rsidR="00221BE2" w:rsidRPr="00E619C8" w:rsidRDefault="00221BE2" w:rsidP="00FC1D48">
            <w:pPr>
              <w:spacing w:line="276" w:lineRule="auto"/>
              <w:rPr>
                <w:rFonts w:ascii="Arial" w:hAnsi="Arial" w:cs="Arial"/>
                <w:color w:val="000000"/>
                <w:sz w:val="22"/>
                <w:szCs w:val="22"/>
              </w:rPr>
            </w:pPr>
          </w:p>
        </w:tc>
      </w:tr>
      <w:tr w:rsidR="00BF461D" w:rsidRPr="00E619C8" w14:paraId="2EEA2073" w14:textId="77777777" w:rsidTr="00BF461D">
        <w:trPr>
          <w:trHeight w:val="288"/>
        </w:trPr>
        <w:tc>
          <w:tcPr>
            <w:tcW w:w="48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F43AF02"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Rumah Sakit Mandalika</w:t>
            </w:r>
          </w:p>
        </w:tc>
        <w:tc>
          <w:tcPr>
            <w:tcW w:w="2928" w:type="dxa"/>
            <w:vMerge/>
            <w:tcBorders>
              <w:top w:val="single" w:sz="4" w:space="0" w:color="auto"/>
              <w:left w:val="single" w:sz="4" w:space="0" w:color="auto"/>
              <w:bottom w:val="single" w:sz="4" w:space="0" w:color="auto"/>
              <w:right w:val="single" w:sz="4" w:space="0" w:color="auto"/>
            </w:tcBorders>
            <w:vAlign w:val="center"/>
            <w:hideMark/>
          </w:tcPr>
          <w:p w14:paraId="729DCA32" w14:textId="77777777" w:rsidR="00221BE2" w:rsidRPr="00E619C8" w:rsidRDefault="00221BE2" w:rsidP="00FC1D48">
            <w:pPr>
              <w:spacing w:line="276" w:lineRule="auto"/>
              <w:rPr>
                <w:rFonts w:ascii="Arial" w:hAnsi="Arial" w:cs="Arial"/>
                <w:color w:val="000000"/>
                <w:sz w:val="22"/>
                <w:szCs w:val="22"/>
              </w:rPr>
            </w:pPr>
          </w:p>
        </w:tc>
        <w:tc>
          <w:tcPr>
            <w:tcW w:w="1212" w:type="dxa"/>
            <w:vMerge/>
            <w:tcBorders>
              <w:top w:val="single" w:sz="4" w:space="0" w:color="auto"/>
              <w:left w:val="single" w:sz="4" w:space="0" w:color="auto"/>
              <w:bottom w:val="single" w:sz="4" w:space="0" w:color="auto"/>
              <w:right w:val="single" w:sz="4" w:space="0" w:color="auto"/>
            </w:tcBorders>
            <w:vAlign w:val="center"/>
            <w:hideMark/>
          </w:tcPr>
          <w:p w14:paraId="2A62E4A4" w14:textId="77777777" w:rsidR="00221BE2" w:rsidRPr="00E619C8" w:rsidRDefault="00221BE2" w:rsidP="00FC1D48">
            <w:pPr>
              <w:spacing w:line="276" w:lineRule="auto"/>
              <w:rPr>
                <w:rFonts w:ascii="Arial" w:hAnsi="Arial" w:cs="Arial"/>
                <w:color w:val="000000"/>
                <w:sz w:val="22"/>
                <w:szCs w:val="22"/>
              </w:rPr>
            </w:pPr>
          </w:p>
        </w:tc>
      </w:tr>
      <w:tr w:rsidR="00BF461D" w:rsidRPr="00E619C8" w14:paraId="345399B2" w14:textId="77777777" w:rsidTr="00BF461D">
        <w:trPr>
          <w:trHeight w:val="288"/>
        </w:trPr>
        <w:tc>
          <w:tcPr>
            <w:tcW w:w="48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6EBB072" w14:textId="77777777" w:rsidR="00221BE2" w:rsidRPr="00E619C8" w:rsidRDefault="00221BE2" w:rsidP="00FC1D48">
            <w:pPr>
              <w:spacing w:line="276" w:lineRule="auto"/>
              <w:rPr>
                <w:rFonts w:ascii="Arial" w:hAnsi="Arial" w:cs="Arial"/>
                <w:color w:val="000000"/>
                <w:sz w:val="22"/>
                <w:szCs w:val="22"/>
              </w:rPr>
            </w:pPr>
            <w:r w:rsidRPr="00E619C8">
              <w:rPr>
                <w:rFonts w:ascii="Arial" w:hAnsi="Arial" w:cs="Arial"/>
                <w:color w:val="000000"/>
                <w:sz w:val="22"/>
                <w:szCs w:val="22"/>
              </w:rPr>
              <w:t>Sekretariat Dewan Perwakilan Rakyat Daerah</w:t>
            </w:r>
          </w:p>
        </w:tc>
        <w:tc>
          <w:tcPr>
            <w:tcW w:w="2928" w:type="dxa"/>
            <w:tcBorders>
              <w:top w:val="single" w:sz="4" w:space="0" w:color="auto"/>
              <w:left w:val="nil"/>
              <w:bottom w:val="single" w:sz="4" w:space="0" w:color="auto"/>
              <w:right w:val="single" w:sz="4" w:space="0" w:color="auto"/>
            </w:tcBorders>
            <w:shd w:val="clear" w:color="000000" w:fill="FFFFFF"/>
            <w:noWrap/>
            <w:vAlign w:val="center"/>
            <w:hideMark/>
          </w:tcPr>
          <w:p w14:paraId="7ADCE8FE"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Legislative Institutions</w:t>
            </w:r>
          </w:p>
        </w:tc>
        <w:tc>
          <w:tcPr>
            <w:tcW w:w="1212" w:type="dxa"/>
            <w:tcBorders>
              <w:top w:val="single" w:sz="4" w:space="0" w:color="auto"/>
              <w:left w:val="nil"/>
              <w:bottom w:val="single" w:sz="4" w:space="0" w:color="auto"/>
              <w:right w:val="single" w:sz="4" w:space="0" w:color="auto"/>
            </w:tcBorders>
            <w:noWrap/>
            <w:vAlign w:val="center"/>
            <w:hideMark/>
          </w:tcPr>
          <w:p w14:paraId="07E3417A" w14:textId="77777777" w:rsidR="00221BE2" w:rsidRPr="00E619C8" w:rsidRDefault="00221BE2" w:rsidP="00FC1D48">
            <w:pPr>
              <w:spacing w:line="276" w:lineRule="auto"/>
              <w:jc w:val="center"/>
              <w:rPr>
                <w:rFonts w:ascii="Arial" w:hAnsi="Arial" w:cs="Arial"/>
                <w:color w:val="000000"/>
                <w:sz w:val="22"/>
                <w:szCs w:val="22"/>
              </w:rPr>
            </w:pPr>
            <w:r w:rsidRPr="00E619C8">
              <w:rPr>
                <w:rFonts w:ascii="Arial" w:hAnsi="Arial" w:cs="Arial"/>
                <w:color w:val="000000"/>
                <w:sz w:val="22"/>
                <w:szCs w:val="22"/>
              </w:rPr>
              <w:t>23.78</w:t>
            </w:r>
          </w:p>
        </w:tc>
      </w:tr>
    </w:tbl>
    <w:p w14:paraId="2FF3EBB0" w14:textId="308B6029" w:rsidR="002033A5" w:rsidRPr="00E619C8" w:rsidRDefault="00E113EC">
      <w:pPr>
        <w:spacing w:before="240" w:after="240" w:line="300" w:lineRule="auto"/>
        <w:jc w:val="center"/>
        <w:rPr>
          <w:rFonts w:ascii="Arial" w:eastAsia="Arial" w:hAnsi="Arial" w:cs="Arial"/>
          <w:sz w:val="20"/>
          <w:szCs w:val="20"/>
        </w:rPr>
      </w:pPr>
      <w:r w:rsidRPr="00E619C8">
        <w:rPr>
          <w:rFonts w:ascii="Arial" w:eastAsia="Arial" w:hAnsi="Arial" w:cs="Arial"/>
          <w:sz w:val="20"/>
          <w:szCs w:val="20"/>
        </w:rPr>
        <w:t xml:space="preserve"> Table </w:t>
      </w:r>
      <w:r w:rsidR="00DD0F1A" w:rsidRPr="00E619C8">
        <w:rPr>
          <w:rFonts w:ascii="Arial" w:eastAsia="Arial" w:hAnsi="Arial" w:cs="Arial"/>
          <w:sz w:val="20"/>
          <w:szCs w:val="20"/>
        </w:rPr>
        <w:t>9</w:t>
      </w:r>
      <w:r w:rsidRPr="00E619C8">
        <w:rPr>
          <w:rFonts w:ascii="Arial" w:eastAsia="Arial" w:hAnsi="Arial" w:cs="Arial"/>
          <w:sz w:val="20"/>
          <w:szCs w:val="20"/>
        </w:rPr>
        <w:t>. Average ITI Scores by Type Category</w:t>
      </w:r>
    </w:p>
    <w:p w14:paraId="21F93A39" w14:textId="02E72AD0" w:rsidR="00AC61B1" w:rsidRPr="00E619C8" w:rsidRDefault="00AC61B1">
      <w:pPr>
        <w:spacing w:before="240" w:after="240" w:line="300" w:lineRule="auto"/>
        <w:jc w:val="center"/>
        <w:rPr>
          <w:rFonts w:ascii="Arial" w:eastAsia="Arial" w:hAnsi="Arial" w:cs="Arial"/>
          <w:sz w:val="20"/>
          <w:szCs w:val="20"/>
        </w:rPr>
      </w:pPr>
      <w:r w:rsidRPr="00E619C8">
        <w:rPr>
          <w:noProof/>
        </w:rPr>
        <w:drawing>
          <wp:inline distT="0" distB="0" distL="0" distR="0" wp14:anchorId="79622DFF" wp14:editId="5233EBE8">
            <wp:extent cx="5286829" cy="2712085"/>
            <wp:effectExtent l="0" t="0" r="9525" b="12065"/>
            <wp:docPr id="48949226" name="Chart 1">
              <a:extLst xmlns:a="http://schemas.openxmlformats.org/drawingml/2006/main">
                <a:ext uri="{FF2B5EF4-FFF2-40B4-BE49-F238E27FC236}">
                  <a16:creationId xmlns:a16="http://schemas.microsoft.com/office/drawing/2014/main" id="{6EB6C0B6-EC61-474F-B4D7-407077A30E9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14:paraId="5B52F6EB" w14:textId="6C706A94" w:rsidR="002033A5" w:rsidRPr="00E619C8" w:rsidRDefault="00E113EC">
      <w:pPr>
        <w:spacing w:before="240" w:after="240" w:line="300" w:lineRule="auto"/>
        <w:jc w:val="center"/>
        <w:rPr>
          <w:rFonts w:ascii="Arial" w:eastAsia="Arial" w:hAnsi="Arial" w:cs="Arial"/>
          <w:sz w:val="20"/>
          <w:szCs w:val="20"/>
        </w:rPr>
      </w:pPr>
      <w:r w:rsidRPr="00E619C8">
        <w:rPr>
          <w:rFonts w:ascii="Arial" w:eastAsia="Arial" w:hAnsi="Arial" w:cs="Arial"/>
          <w:sz w:val="20"/>
          <w:szCs w:val="20"/>
        </w:rPr>
        <w:t xml:space="preserve">Figure </w:t>
      </w:r>
      <w:r w:rsidR="00EB65C4" w:rsidRPr="00E619C8">
        <w:rPr>
          <w:rFonts w:ascii="Arial" w:eastAsia="Arial" w:hAnsi="Arial" w:cs="Arial"/>
          <w:sz w:val="20"/>
          <w:szCs w:val="20"/>
        </w:rPr>
        <w:t>10</w:t>
      </w:r>
      <w:r w:rsidRPr="00E619C8">
        <w:rPr>
          <w:rFonts w:ascii="Arial" w:eastAsia="Arial" w:hAnsi="Arial" w:cs="Arial"/>
          <w:sz w:val="20"/>
          <w:szCs w:val="20"/>
        </w:rPr>
        <w:t>. Average ITI Score by Type Category</w:t>
      </w:r>
    </w:p>
    <w:p w14:paraId="18D78DDC" w14:textId="1314D85F"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Figure </w:t>
      </w:r>
      <w:r w:rsidR="00EB65C4" w:rsidRPr="00E619C8">
        <w:rPr>
          <w:rFonts w:ascii="Arial" w:eastAsia="Arial" w:hAnsi="Arial" w:cs="Arial"/>
          <w:sz w:val="22"/>
          <w:szCs w:val="22"/>
        </w:rPr>
        <w:t>10</w:t>
      </w:r>
      <w:r w:rsidR="00DD0F1A" w:rsidRPr="00E619C8">
        <w:rPr>
          <w:rFonts w:ascii="Arial" w:eastAsia="Arial" w:hAnsi="Arial" w:cs="Arial"/>
          <w:sz w:val="22"/>
          <w:szCs w:val="22"/>
        </w:rPr>
        <w:t xml:space="preserve"> </w:t>
      </w:r>
      <w:r w:rsidRPr="00E619C8">
        <w:rPr>
          <w:rFonts w:ascii="Arial" w:eastAsia="Arial" w:hAnsi="Arial" w:cs="Arial"/>
          <w:sz w:val="22"/>
          <w:szCs w:val="22"/>
        </w:rPr>
        <w:t>shows that Revenue and Financial Agencies achieved the highest average ITI score (42.38). Public Hospitals follow with an average score of 38.77, while Local Government Agencies (Dinas) recorded an average of 36.68. Legislative Institutions have the lowest average ITI score (23.78).</w:t>
      </w:r>
    </w:p>
    <w:p w14:paraId="2069E766" w14:textId="7777777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The differences across PE types highlight that institutional mandates and administrative structures may influence transparency performance. Entities with financial and revenue responsibilities tend to have more structured accountability systems, which may positively affect their ITI performance. On the other hand, legislative institutions may require targeted improvements in information disclosure frameworks and citizen engagement mechanisms.</w:t>
      </w:r>
    </w:p>
    <w:p w14:paraId="19DEE98E" w14:textId="7777777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These findings imply that policy interventions should be tailored according to institutional type. Strengthening transparency standards and improving digital disclosure systems, particularly for lower-performing categories, could help reduce disparities in ITI performance across procuring entities.</w:t>
      </w:r>
    </w:p>
    <w:p w14:paraId="17B2BA97" w14:textId="77777777" w:rsidR="002033A5" w:rsidRPr="00E619C8" w:rsidRDefault="00E113EC">
      <w:pPr>
        <w:keepNext/>
        <w:keepLines/>
        <w:spacing w:before="240" w:after="160" w:line="300" w:lineRule="auto"/>
        <w:jc w:val="both"/>
        <w:rPr>
          <w:rFonts w:ascii="Arial" w:eastAsia="Arial" w:hAnsi="Arial" w:cs="Arial"/>
          <w:b/>
          <w:bCs/>
          <w:color w:val="C00000"/>
          <w:sz w:val="22"/>
          <w:szCs w:val="22"/>
        </w:rPr>
      </w:pPr>
      <w:bookmarkStart w:id="29" w:name="_heading=h.3v46jsnf20bd" w:colFirst="0" w:colLast="0"/>
      <w:bookmarkEnd w:id="29"/>
      <w:r w:rsidRPr="00E619C8">
        <w:rPr>
          <w:rFonts w:ascii="Arial" w:eastAsia="Arial" w:hAnsi="Arial" w:cs="Arial"/>
          <w:b/>
          <w:bCs/>
          <w:color w:val="C00000"/>
          <w:sz w:val="22"/>
          <w:szCs w:val="22"/>
        </w:rPr>
        <w:t>3.2.3 Results by procuring entities sector</w:t>
      </w:r>
    </w:p>
    <w:p w14:paraId="3EACE9B4" w14:textId="2630141D" w:rsidR="002033A5" w:rsidRPr="00E619C8" w:rsidRDefault="00E113EC">
      <w:pPr>
        <w:keepNext/>
        <w:keepLines/>
        <w:spacing w:before="240" w:after="240" w:line="300" w:lineRule="auto"/>
        <w:jc w:val="both"/>
        <w:rPr>
          <w:rFonts w:ascii="Arial" w:eastAsia="Arial" w:hAnsi="Arial" w:cs="Arial"/>
          <w:sz w:val="22"/>
          <w:szCs w:val="22"/>
        </w:rPr>
      </w:pPr>
      <w:bookmarkStart w:id="30" w:name="_heading=h.4qmvlcfqxhlb" w:colFirst="0" w:colLast="0"/>
      <w:bookmarkEnd w:id="30"/>
      <w:r w:rsidRPr="00E619C8">
        <w:rPr>
          <w:rFonts w:ascii="Arial" w:eastAsia="Arial" w:hAnsi="Arial" w:cs="Arial"/>
          <w:sz w:val="22"/>
          <w:szCs w:val="22"/>
        </w:rPr>
        <w:t xml:space="preserve">To explore whether transparency performance varies across policy areas, Procuring Entities (PEs) were grouped into sector </w:t>
      </w:r>
      <w:r w:rsidR="004819ED" w:rsidRPr="00E619C8">
        <w:rPr>
          <w:rFonts w:ascii="Arial" w:eastAsia="Arial" w:hAnsi="Arial" w:cs="Arial"/>
          <w:sz w:val="22"/>
          <w:szCs w:val="22"/>
        </w:rPr>
        <w:t>categories,</w:t>
      </w:r>
      <w:r w:rsidRPr="00E619C8">
        <w:rPr>
          <w:rFonts w:ascii="Arial" w:eastAsia="Arial" w:hAnsi="Arial" w:cs="Arial"/>
          <w:sz w:val="22"/>
          <w:szCs w:val="22"/>
        </w:rPr>
        <w:t xml:space="preserve"> and the average ITI score was calculated for each sector.</w:t>
      </w:r>
    </w:p>
    <w:tbl>
      <w:tblPr>
        <w:tblW w:w="9000" w:type="dxa"/>
        <w:tblLook w:val="04A0" w:firstRow="1" w:lastRow="0" w:firstColumn="1" w:lastColumn="0" w:noHBand="0" w:noVBand="1"/>
      </w:tblPr>
      <w:tblGrid>
        <w:gridCol w:w="4855"/>
        <w:gridCol w:w="2860"/>
        <w:gridCol w:w="1285"/>
      </w:tblGrid>
      <w:tr w:rsidR="00BF461D" w:rsidRPr="00E619C8" w14:paraId="742EDEDF" w14:textId="77777777" w:rsidTr="00FC1D48">
        <w:trPr>
          <w:trHeight w:val="288"/>
          <w:tblHeader/>
        </w:trPr>
        <w:tc>
          <w:tcPr>
            <w:tcW w:w="4855"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538C429F" w14:textId="77777777" w:rsidR="00BF461D" w:rsidRPr="00E619C8" w:rsidRDefault="00BF461D" w:rsidP="00FC1D48">
            <w:pPr>
              <w:spacing w:line="360" w:lineRule="auto"/>
              <w:jc w:val="center"/>
              <w:rPr>
                <w:rFonts w:ascii="Arial" w:hAnsi="Arial" w:cs="Arial"/>
                <w:b/>
                <w:bCs/>
                <w:color w:val="FFFFFF"/>
                <w:sz w:val="22"/>
                <w:szCs w:val="22"/>
              </w:rPr>
            </w:pPr>
            <w:r w:rsidRPr="00E619C8">
              <w:rPr>
                <w:rFonts w:ascii="Arial" w:hAnsi="Arial" w:cs="Arial"/>
                <w:b/>
                <w:bCs/>
                <w:color w:val="FFFFFF"/>
                <w:sz w:val="22"/>
                <w:szCs w:val="22"/>
              </w:rPr>
              <w:t>Procuring Entity</w:t>
            </w:r>
          </w:p>
        </w:tc>
        <w:tc>
          <w:tcPr>
            <w:tcW w:w="2860"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46E4B95C" w14:textId="77777777" w:rsidR="00BF461D" w:rsidRPr="00E619C8" w:rsidRDefault="00BF461D">
            <w:pPr>
              <w:jc w:val="center"/>
              <w:rPr>
                <w:rFonts w:ascii="Arial" w:hAnsi="Arial" w:cs="Arial"/>
                <w:b/>
                <w:bCs/>
                <w:color w:val="FFFFFF"/>
                <w:sz w:val="22"/>
                <w:szCs w:val="22"/>
              </w:rPr>
            </w:pPr>
            <w:r w:rsidRPr="00E619C8">
              <w:rPr>
                <w:rFonts w:ascii="Arial" w:hAnsi="Arial" w:cs="Arial"/>
                <w:b/>
                <w:bCs/>
                <w:color w:val="FFFFFF"/>
                <w:sz w:val="22"/>
                <w:szCs w:val="22"/>
              </w:rPr>
              <w:t>Sector Category</w:t>
            </w:r>
          </w:p>
        </w:tc>
        <w:tc>
          <w:tcPr>
            <w:tcW w:w="1285"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4FA7D1F7" w14:textId="77777777" w:rsidR="00BF461D" w:rsidRPr="00E619C8" w:rsidRDefault="00BF461D">
            <w:pPr>
              <w:jc w:val="center"/>
              <w:rPr>
                <w:rFonts w:ascii="Arial" w:hAnsi="Arial" w:cs="Arial"/>
                <w:b/>
                <w:bCs/>
                <w:color w:val="FFFFFF"/>
                <w:sz w:val="22"/>
                <w:szCs w:val="22"/>
              </w:rPr>
            </w:pPr>
            <w:r w:rsidRPr="00E619C8">
              <w:rPr>
                <w:rFonts w:ascii="Arial" w:hAnsi="Arial" w:cs="Arial"/>
                <w:b/>
                <w:bCs/>
                <w:color w:val="FFFFFF"/>
                <w:sz w:val="22"/>
                <w:szCs w:val="22"/>
              </w:rPr>
              <w:t>Average ITI Score</w:t>
            </w:r>
          </w:p>
        </w:tc>
      </w:tr>
      <w:tr w:rsidR="00BF461D" w:rsidRPr="00E619C8" w14:paraId="55E81446" w14:textId="77777777" w:rsidTr="00BF461D">
        <w:trPr>
          <w:trHeight w:val="288"/>
        </w:trPr>
        <w:tc>
          <w:tcPr>
            <w:tcW w:w="48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52911AA" w14:textId="77777777" w:rsidR="00BF461D" w:rsidRPr="00E619C8" w:rsidRDefault="00BF461D" w:rsidP="00FC1D48">
            <w:pPr>
              <w:spacing w:line="360" w:lineRule="auto"/>
              <w:rPr>
                <w:rFonts w:ascii="Arial" w:hAnsi="Arial" w:cs="Arial"/>
                <w:color w:val="000000"/>
                <w:sz w:val="22"/>
                <w:szCs w:val="22"/>
              </w:rPr>
            </w:pPr>
            <w:r w:rsidRPr="00E619C8">
              <w:rPr>
                <w:rFonts w:ascii="Arial" w:hAnsi="Arial" w:cs="Arial"/>
                <w:color w:val="000000"/>
                <w:sz w:val="22"/>
                <w:szCs w:val="22"/>
              </w:rPr>
              <w:t>Dinas Pendidikan dan Kebudayaan</w:t>
            </w:r>
          </w:p>
        </w:tc>
        <w:tc>
          <w:tcPr>
            <w:tcW w:w="2860"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53977BF3"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Education</w:t>
            </w:r>
          </w:p>
        </w:tc>
        <w:tc>
          <w:tcPr>
            <w:tcW w:w="1285" w:type="dxa"/>
            <w:vMerge w:val="restart"/>
            <w:tcBorders>
              <w:top w:val="single" w:sz="4" w:space="0" w:color="auto"/>
              <w:left w:val="single" w:sz="4" w:space="0" w:color="auto"/>
              <w:bottom w:val="single" w:sz="4" w:space="0" w:color="000000"/>
              <w:right w:val="single" w:sz="4" w:space="0" w:color="auto"/>
            </w:tcBorders>
            <w:shd w:val="clear" w:color="000000" w:fill="FFFFFF"/>
            <w:noWrap/>
            <w:vAlign w:val="center"/>
            <w:hideMark/>
          </w:tcPr>
          <w:p w14:paraId="757B0745"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46.90</w:t>
            </w:r>
          </w:p>
        </w:tc>
      </w:tr>
      <w:tr w:rsidR="00BF461D" w:rsidRPr="00E619C8" w14:paraId="5DDDADE3" w14:textId="77777777" w:rsidTr="00BF461D">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3239DA18" w14:textId="77777777" w:rsidR="00BF461D" w:rsidRPr="00E619C8" w:rsidRDefault="00BF461D" w:rsidP="00FC1D48">
            <w:pPr>
              <w:spacing w:line="360" w:lineRule="auto"/>
              <w:rPr>
                <w:rFonts w:ascii="Arial" w:hAnsi="Arial" w:cs="Arial"/>
                <w:color w:val="000000"/>
                <w:sz w:val="22"/>
                <w:szCs w:val="22"/>
              </w:rPr>
            </w:pPr>
            <w:r w:rsidRPr="00E619C8">
              <w:rPr>
                <w:rFonts w:ascii="Arial" w:hAnsi="Arial" w:cs="Arial"/>
                <w:color w:val="000000"/>
                <w:sz w:val="22"/>
                <w:szCs w:val="22"/>
              </w:rPr>
              <w:t>Dinas Perpustakaan dan Kearsipan</w:t>
            </w:r>
          </w:p>
        </w:tc>
        <w:tc>
          <w:tcPr>
            <w:tcW w:w="2860" w:type="dxa"/>
            <w:vMerge/>
            <w:tcBorders>
              <w:top w:val="single" w:sz="4" w:space="0" w:color="auto"/>
              <w:left w:val="single" w:sz="4" w:space="0" w:color="auto"/>
              <w:bottom w:val="single" w:sz="4" w:space="0" w:color="000000"/>
              <w:right w:val="single" w:sz="4" w:space="0" w:color="auto"/>
            </w:tcBorders>
            <w:vAlign w:val="center"/>
            <w:hideMark/>
          </w:tcPr>
          <w:p w14:paraId="70709199" w14:textId="77777777" w:rsidR="00BF461D" w:rsidRPr="00E619C8" w:rsidRDefault="00BF461D">
            <w:pPr>
              <w:rPr>
                <w:rFonts w:ascii="Arial" w:hAnsi="Arial" w:cs="Arial"/>
                <w:color w:val="000000"/>
                <w:sz w:val="22"/>
                <w:szCs w:val="22"/>
              </w:rPr>
            </w:pPr>
          </w:p>
        </w:tc>
        <w:tc>
          <w:tcPr>
            <w:tcW w:w="1285" w:type="dxa"/>
            <w:vMerge/>
            <w:tcBorders>
              <w:top w:val="single" w:sz="4" w:space="0" w:color="auto"/>
              <w:left w:val="single" w:sz="4" w:space="0" w:color="auto"/>
              <w:bottom w:val="single" w:sz="4" w:space="0" w:color="000000"/>
              <w:right w:val="single" w:sz="4" w:space="0" w:color="auto"/>
            </w:tcBorders>
            <w:vAlign w:val="center"/>
            <w:hideMark/>
          </w:tcPr>
          <w:p w14:paraId="298E9458" w14:textId="77777777" w:rsidR="00BF461D" w:rsidRPr="00E619C8" w:rsidRDefault="00BF461D">
            <w:pPr>
              <w:rPr>
                <w:rFonts w:ascii="Arial" w:hAnsi="Arial" w:cs="Arial"/>
                <w:color w:val="000000"/>
                <w:sz w:val="22"/>
                <w:szCs w:val="22"/>
              </w:rPr>
            </w:pPr>
          </w:p>
        </w:tc>
      </w:tr>
      <w:tr w:rsidR="00BF461D" w:rsidRPr="00E619C8" w14:paraId="01F13A82" w14:textId="77777777" w:rsidTr="00BF461D">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1C64C6F7" w14:textId="77777777" w:rsidR="00BF461D" w:rsidRPr="00E619C8" w:rsidRDefault="00BF461D" w:rsidP="00FC1D48">
            <w:pPr>
              <w:spacing w:line="360" w:lineRule="auto"/>
              <w:rPr>
                <w:rFonts w:ascii="Arial" w:hAnsi="Arial" w:cs="Arial"/>
                <w:color w:val="000000"/>
                <w:sz w:val="22"/>
                <w:szCs w:val="22"/>
              </w:rPr>
            </w:pPr>
            <w:r w:rsidRPr="00E619C8">
              <w:rPr>
                <w:rFonts w:ascii="Arial" w:hAnsi="Arial" w:cs="Arial"/>
                <w:color w:val="000000"/>
                <w:sz w:val="22"/>
                <w:szCs w:val="22"/>
              </w:rPr>
              <w:t>Dinas Pekerjaan Umum dan Penataan Ruang (Bidang Sumber Daya Air)</w:t>
            </w:r>
          </w:p>
        </w:tc>
        <w:tc>
          <w:tcPr>
            <w:tcW w:w="28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6131C1FA"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Water and Waste</w:t>
            </w:r>
          </w:p>
        </w:tc>
        <w:tc>
          <w:tcPr>
            <w:tcW w:w="128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CEB8244"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36.20</w:t>
            </w:r>
          </w:p>
        </w:tc>
      </w:tr>
      <w:tr w:rsidR="00BF461D" w:rsidRPr="00E619C8" w14:paraId="3302EE08" w14:textId="77777777" w:rsidTr="00BF461D">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1E5E2B80" w14:textId="77777777" w:rsidR="00BF461D" w:rsidRPr="00E619C8" w:rsidRDefault="00BF461D" w:rsidP="00FC1D48">
            <w:pPr>
              <w:spacing w:line="360" w:lineRule="auto"/>
              <w:rPr>
                <w:rFonts w:ascii="Arial" w:hAnsi="Arial" w:cs="Arial"/>
                <w:color w:val="000000"/>
                <w:sz w:val="22"/>
                <w:szCs w:val="22"/>
              </w:rPr>
            </w:pPr>
            <w:r w:rsidRPr="00E619C8">
              <w:rPr>
                <w:rFonts w:ascii="Arial" w:hAnsi="Arial" w:cs="Arial"/>
                <w:color w:val="000000"/>
                <w:sz w:val="22"/>
                <w:szCs w:val="22"/>
              </w:rPr>
              <w:t>Dinas Lingkungan Hidup dan Kehutanan</w:t>
            </w:r>
          </w:p>
        </w:tc>
        <w:tc>
          <w:tcPr>
            <w:tcW w:w="2860" w:type="dxa"/>
            <w:vMerge/>
            <w:tcBorders>
              <w:top w:val="nil"/>
              <w:left w:val="single" w:sz="4" w:space="0" w:color="auto"/>
              <w:bottom w:val="single" w:sz="4" w:space="0" w:color="000000"/>
              <w:right w:val="single" w:sz="4" w:space="0" w:color="auto"/>
            </w:tcBorders>
            <w:vAlign w:val="center"/>
            <w:hideMark/>
          </w:tcPr>
          <w:p w14:paraId="1DB78FAB" w14:textId="77777777" w:rsidR="00BF461D" w:rsidRPr="00E619C8" w:rsidRDefault="00BF461D">
            <w:pPr>
              <w:rPr>
                <w:rFonts w:ascii="Arial" w:hAnsi="Arial" w:cs="Arial"/>
                <w:color w:val="000000"/>
                <w:sz w:val="22"/>
                <w:szCs w:val="22"/>
              </w:rPr>
            </w:pPr>
          </w:p>
        </w:tc>
        <w:tc>
          <w:tcPr>
            <w:tcW w:w="1285" w:type="dxa"/>
            <w:vMerge/>
            <w:tcBorders>
              <w:top w:val="nil"/>
              <w:left w:val="single" w:sz="4" w:space="0" w:color="auto"/>
              <w:bottom w:val="single" w:sz="4" w:space="0" w:color="000000"/>
              <w:right w:val="single" w:sz="4" w:space="0" w:color="auto"/>
            </w:tcBorders>
            <w:vAlign w:val="center"/>
            <w:hideMark/>
          </w:tcPr>
          <w:p w14:paraId="260F4626" w14:textId="77777777" w:rsidR="00BF461D" w:rsidRPr="00E619C8" w:rsidRDefault="00BF461D">
            <w:pPr>
              <w:rPr>
                <w:rFonts w:ascii="Arial" w:hAnsi="Arial" w:cs="Arial"/>
                <w:color w:val="000000"/>
                <w:sz w:val="22"/>
                <w:szCs w:val="22"/>
              </w:rPr>
            </w:pPr>
          </w:p>
        </w:tc>
      </w:tr>
      <w:tr w:rsidR="00BF461D" w:rsidRPr="00E619C8" w14:paraId="73F11B35" w14:textId="77777777" w:rsidTr="00BF461D">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127274A9" w14:textId="77777777" w:rsidR="00BF461D" w:rsidRPr="00E619C8" w:rsidRDefault="00BF461D" w:rsidP="00FC1D48">
            <w:pPr>
              <w:spacing w:line="360" w:lineRule="auto"/>
              <w:rPr>
                <w:rFonts w:ascii="Arial" w:hAnsi="Arial" w:cs="Arial"/>
                <w:color w:val="000000"/>
                <w:sz w:val="22"/>
                <w:szCs w:val="22"/>
              </w:rPr>
            </w:pPr>
            <w:r w:rsidRPr="00E619C8">
              <w:rPr>
                <w:rFonts w:ascii="Arial" w:hAnsi="Arial" w:cs="Arial"/>
                <w:color w:val="000000"/>
                <w:sz w:val="22"/>
                <w:szCs w:val="22"/>
              </w:rPr>
              <w:t>Dinas Kelautan dan Perikanan</w:t>
            </w:r>
          </w:p>
        </w:tc>
        <w:tc>
          <w:tcPr>
            <w:tcW w:w="28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BF2435F"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Transport</w:t>
            </w:r>
          </w:p>
        </w:tc>
        <w:tc>
          <w:tcPr>
            <w:tcW w:w="128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280F7465"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24.68</w:t>
            </w:r>
          </w:p>
        </w:tc>
      </w:tr>
      <w:tr w:rsidR="00BF461D" w:rsidRPr="00E619C8" w14:paraId="78F1446B" w14:textId="77777777" w:rsidTr="00BF461D">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03ADBC44" w14:textId="77777777" w:rsidR="00BF461D" w:rsidRPr="00E619C8" w:rsidRDefault="00BF461D" w:rsidP="00FC1D48">
            <w:pPr>
              <w:spacing w:line="360" w:lineRule="auto"/>
              <w:rPr>
                <w:rFonts w:ascii="Arial" w:hAnsi="Arial" w:cs="Arial"/>
                <w:color w:val="000000"/>
                <w:sz w:val="22"/>
                <w:szCs w:val="22"/>
              </w:rPr>
            </w:pPr>
            <w:r w:rsidRPr="00E619C8">
              <w:rPr>
                <w:rFonts w:ascii="Arial" w:hAnsi="Arial" w:cs="Arial"/>
                <w:color w:val="000000"/>
                <w:sz w:val="22"/>
                <w:szCs w:val="22"/>
              </w:rPr>
              <w:t>Dinas Pekerjaan Umum dan Penataan Ruang (Bidang Bina Marga)</w:t>
            </w:r>
          </w:p>
        </w:tc>
        <w:tc>
          <w:tcPr>
            <w:tcW w:w="2860" w:type="dxa"/>
            <w:vMerge/>
            <w:tcBorders>
              <w:top w:val="nil"/>
              <w:left w:val="single" w:sz="4" w:space="0" w:color="auto"/>
              <w:bottom w:val="single" w:sz="4" w:space="0" w:color="000000"/>
              <w:right w:val="single" w:sz="4" w:space="0" w:color="auto"/>
            </w:tcBorders>
            <w:vAlign w:val="center"/>
            <w:hideMark/>
          </w:tcPr>
          <w:p w14:paraId="3B1C217E" w14:textId="77777777" w:rsidR="00BF461D" w:rsidRPr="00E619C8" w:rsidRDefault="00BF461D">
            <w:pPr>
              <w:rPr>
                <w:rFonts w:ascii="Arial" w:hAnsi="Arial" w:cs="Arial"/>
                <w:color w:val="000000"/>
                <w:sz w:val="22"/>
                <w:szCs w:val="22"/>
              </w:rPr>
            </w:pPr>
          </w:p>
        </w:tc>
        <w:tc>
          <w:tcPr>
            <w:tcW w:w="1285" w:type="dxa"/>
            <w:vMerge/>
            <w:tcBorders>
              <w:top w:val="nil"/>
              <w:left w:val="single" w:sz="4" w:space="0" w:color="auto"/>
              <w:bottom w:val="single" w:sz="4" w:space="0" w:color="000000"/>
              <w:right w:val="single" w:sz="4" w:space="0" w:color="auto"/>
            </w:tcBorders>
            <w:vAlign w:val="center"/>
            <w:hideMark/>
          </w:tcPr>
          <w:p w14:paraId="413DBFBB" w14:textId="77777777" w:rsidR="00BF461D" w:rsidRPr="00E619C8" w:rsidRDefault="00BF461D">
            <w:pPr>
              <w:rPr>
                <w:rFonts w:ascii="Arial" w:hAnsi="Arial" w:cs="Arial"/>
                <w:color w:val="000000"/>
                <w:sz w:val="22"/>
                <w:szCs w:val="22"/>
              </w:rPr>
            </w:pPr>
          </w:p>
        </w:tc>
      </w:tr>
      <w:tr w:rsidR="00BF461D" w:rsidRPr="00E619C8" w14:paraId="4CBBFE77" w14:textId="77777777" w:rsidTr="00BF461D">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5ADAB4C1" w14:textId="77777777" w:rsidR="00BF461D" w:rsidRPr="00E619C8" w:rsidRDefault="00BF461D" w:rsidP="00FC1D48">
            <w:pPr>
              <w:spacing w:line="360" w:lineRule="auto"/>
              <w:rPr>
                <w:rFonts w:ascii="Arial" w:hAnsi="Arial" w:cs="Arial"/>
                <w:color w:val="000000"/>
                <w:sz w:val="22"/>
                <w:szCs w:val="22"/>
              </w:rPr>
            </w:pPr>
            <w:r w:rsidRPr="00E619C8">
              <w:rPr>
                <w:rFonts w:ascii="Arial" w:hAnsi="Arial" w:cs="Arial"/>
                <w:color w:val="000000"/>
                <w:sz w:val="22"/>
                <w:szCs w:val="22"/>
              </w:rPr>
              <w:t>Dinas Perumahan dan Permukiman</w:t>
            </w:r>
          </w:p>
        </w:tc>
        <w:tc>
          <w:tcPr>
            <w:tcW w:w="2860" w:type="dxa"/>
            <w:tcBorders>
              <w:top w:val="nil"/>
              <w:left w:val="nil"/>
              <w:bottom w:val="single" w:sz="4" w:space="0" w:color="auto"/>
              <w:right w:val="single" w:sz="4" w:space="0" w:color="auto"/>
            </w:tcBorders>
            <w:shd w:val="clear" w:color="000000" w:fill="FFFFFF"/>
            <w:noWrap/>
            <w:vAlign w:val="center"/>
            <w:hideMark/>
          </w:tcPr>
          <w:p w14:paraId="135541EF"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Housing</w:t>
            </w:r>
          </w:p>
        </w:tc>
        <w:tc>
          <w:tcPr>
            <w:tcW w:w="1285" w:type="dxa"/>
            <w:tcBorders>
              <w:top w:val="nil"/>
              <w:left w:val="nil"/>
              <w:bottom w:val="single" w:sz="4" w:space="0" w:color="auto"/>
              <w:right w:val="single" w:sz="4" w:space="0" w:color="auto"/>
            </w:tcBorders>
            <w:shd w:val="clear" w:color="000000" w:fill="FFFFFF"/>
            <w:noWrap/>
            <w:vAlign w:val="center"/>
            <w:hideMark/>
          </w:tcPr>
          <w:p w14:paraId="48CF1DEE"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57.02</w:t>
            </w:r>
          </w:p>
        </w:tc>
      </w:tr>
      <w:tr w:rsidR="00BF461D" w:rsidRPr="00E619C8" w14:paraId="56EE9280" w14:textId="77777777" w:rsidTr="00BF461D">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631DEE40" w14:textId="77777777" w:rsidR="00BF461D" w:rsidRPr="00E619C8" w:rsidRDefault="00BF461D" w:rsidP="00FC1D48">
            <w:pPr>
              <w:spacing w:line="360" w:lineRule="auto"/>
              <w:rPr>
                <w:rFonts w:ascii="Arial" w:hAnsi="Arial" w:cs="Arial"/>
                <w:color w:val="000000"/>
                <w:sz w:val="22"/>
                <w:szCs w:val="22"/>
              </w:rPr>
            </w:pPr>
            <w:r w:rsidRPr="00E619C8">
              <w:rPr>
                <w:rFonts w:ascii="Arial" w:hAnsi="Arial" w:cs="Arial"/>
                <w:color w:val="000000"/>
                <w:sz w:val="22"/>
                <w:szCs w:val="22"/>
              </w:rPr>
              <w:t>Dinas Pekerjaan Umum dan Penataan Ruang (Bidang Cipta Karya)</w:t>
            </w:r>
          </w:p>
        </w:tc>
        <w:tc>
          <w:tcPr>
            <w:tcW w:w="28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E49F0FC"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Governance</w:t>
            </w:r>
          </w:p>
        </w:tc>
        <w:tc>
          <w:tcPr>
            <w:tcW w:w="128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45AE9DF5"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39.99</w:t>
            </w:r>
          </w:p>
        </w:tc>
      </w:tr>
      <w:tr w:rsidR="00BF461D" w:rsidRPr="00E619C8" w14:paraId="76735DE1" w14:textId="77777777" w:rsidTr="00BF461D">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197711D1" w14:textId="77777777" w:rsidR="00BF461D" w:rsidRPr="00E619C8" w:rsidRDefault="00BF461D" w:rsidP="00FC1D48">
            <w:pPr>
              <w:spacing w:line="360" w:lineRule="auto"/>
              <w:rPr>
                <w:rFonts w:ascii="Arial" w:hAnsi="Arial" w:cs="Arial"/>
                <w:color w:val="000000"/>
                <w:sz w:val="22"/>
                <w:szCs w:val="22"/>
              </w:rPr>
            </w:pPr>
            <w:r w:rsidRPr="00E619C8">
              <w:rPr>
                <w:rFonts w:ascii="Arial" w:hAnsi="Arial" w:cs="Arial"/>
                <w:color w:val="000000"/>
                <w:sz w:val="22"/>
                <w:szCs w:val="22"/>
              </w:rPr>
              <w:t>Badan Pengelolaan Pendapatan Daerah</w:t>
            </w:r>
          </w:p>
        </w:tc>
        <w:tc>
          <w:tcPr>
            <w:tcW w:w="2860" w:type="dxa"/>
            <w:vMerge/>
            <w:tcBorders>
              <w:top w:val="nil"/>
              <w:left w:val="single" w:sz="4" w:space="0" w:color="auto"/>
              <w:bottom w:val="single" w:sz="4" w:space="0" w:color="000000"/>
              <w:right w:val="single" w:sz="4" w:space="0" w:color="auto"/>
            </w:tcBorders>
            <w:vAlign w:val="center"/>
            <w:hideMark/>
          </w:tcPr>
          <w:p w14:paraId="07F34630" w14:textId="77777777" w:rsidR="00BF461D" w:rsidRPr="00E619C8" w:rsidRDefault="00BF461D">
            <w:pPr>
              <w:rPr>
                <w:rFonts w:ascii="Arial" w:hAnsi="Arial" w:cs="Arial"/>
                <w:color w:val="000000"/>
                <w:sz w:val="22"/>
                <w:szCs w:val="22"/>
              </w:rPr>
            </w:pPr>
          </w:p>
        </w:tc>
        <w:tc>
          <w:tcPr>
            <w:tcW w:w="1285" w:type="dxa"/>
            <w:vMerge/>
            <w:tcBorders>
              <w:top w:val="nil"/>
              <w:left w:val="single" w:sz="4" w:space="0" w:color="auto"/>
              <w:bottom w:val="single" w:sz="4" w:space="0" w:color="000000"/>
              <w:right w:val="single" w:sz="4" w:space="0" w:color="auto"/>
            </w:tcBorders>
            <w:vAlign w:val="center"/>
            <w:hideMark/>
          </w:tcPr>
          <w:p w14:paraId="1AD848F3" w14:textId="77777777" w:rsidR="00BF461D" w:rsidRPr="00E619C8" w:rsidRDefault="00BF461D">
            <w:pPr>
              <w:rPr>
                <w:rFonts w:ascii="Arial" w:hAnsi="Arial" w:cs="Arial"/>
                <w:color w:val="000000"/>
                <w:sz w:val="22"/>
                <w:szCs w:val="22"/>
              </w:rPr>
            </w:pPr>
          </w:p>
        </w:tc>
      </w:tr>
      <w:tr w:rsidR="00BF461D" w:rsidRPr="00E619C8" w14:paraId="3C6FCD3B" w14:textId="77777777" w:rsidTr="00BF461D">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42E56524" w14:textId="77777777" w:rsidR="00BF461D" w:rsidRPr="00E619C8" w:rsidRDefault="00BF461D" w:rsidP="00FC1D48">
            <w:pPr>
              <w:spacing w:line="360" w:lineRule="auto"/>
              <w:rPr>
                <w:rFonts w:ascii="Arial" w:hAnsi="Arial" w:cs="Arial"/>
                <w:color w:val="000000"/>
                <w:sz w:val="22"/>
                <w:szCs w:val="22"/>
              </w:rPr>
            </w:pPr>
            <w:r w:rsidRPr="00E619C8">
              <w:rPr>
                <w:rFonts w:ascii="Arial" w:hAnsi="Arial" w:cs="Arial"/>
                <w:color w:val="000000"/>
                <w:sz w:val="22"/>
                <w:szCs w:val="22"/>
              </w:rPr>
              <w:t>Sekretariat Dewan Perwakilan Rakyat Daerah</w:t>
            </w:r>
          </w:p>
        </w:tc>
        <w:tc>
          <w:tcPr>
            <w:tcW w:w="2860" w:type="dxa"/>
            <w:vMerge/>
            <w:tcBorders>
              <w:top w:val="nil"/>
              <w:left w:val="single" w:sz="4" w:space="0" w:color="auto"/>
              <w:bottom w:val="single" w:sz="4" w:space="0" w:color="000000"/>
              <w:right w:val="single" w:sz="4" w:space="0" w:color="auto"/>
            </w:tcBorders>
            <w:vAlign w:val="center"/>
            <w:hideMark/>
          </w:tcPr>
          <w:p w14:paraId="7565FF33" w14:textId="77777777" w:rsidR="00BF461D" w:rsidRPr="00E619C8" w:rsidRDefault="00BF461D">
            <w:pPr>
              <w:rPr>
                <w:rFonts w:ascii="Arial" w:hAnsi="Arial" w:cs="Arial"/>
                <w:color w:val="000000"/>
                <w:sz w:val="22"/>
                <w:szCs w:val="22"/>
              </w:rPr>
            </w:pPr>
          </w:p>
        </w:tc>
        <w:tc>
          <w:tcPr>
            <w:tcW w:w="1285" w:type="dxa"/>
            <w:vMerge/>
            <w:tcBorders>
              <w:top w:val="nil"/>
              <w:left w:val="single" w:sz="4" w:space="0" w:color="auto"/>
              <w:bottom w:val="single" w:sz="4" w:space="0" w:color="000000"/>
              <w:right w:val="single" w:sz="4" w:space="0" w:color="auto"/>
            </w:tcBorders>
            <w:vAlign w:val="center"/>
            <w:hideMark/>
          </w:tcPr>
          <w:p w14:paraId="64FC41A9" w14:textId="77777777" w:rsidR="00BF461D" w:rsidRPr="00E619C8" w:rsidRDefault="00BF461D">
            <w:pPr>
              <w:rPr>
                <w:rFonts w:ascii="Arial" w:hAnsi="Arial" w:cs="Arial"/>
                <w:color w:val="000000"/>
                <w:sz w:val="22"/>
                <w:szCs w:val="22"/>
              </w:rPr>
            </w:pPr>
          </w:p>
        </w:tc>
      </w:tr>
      <w:tr w:rsidR="00BF461D" w:rsidRPr="00E619C8" w14:paraId="00983472" w14:textId="77777777" w:rsidTr="00FC1D48">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28212C4C" w14:textId="77777777" w:rsidR="00BF461D" w:rsidRPr="00E619C8" w:rsidRDefault="00BF461D" w:rsidP="00FC1D48">
            <w:pPr>
              <w:spacing w:line="360" w:lineRule="auto"/>
              <w:rPr>
                <w:rFonts w:ascii="Arial" w:hAnsi="Arial" w:cs="Arial"/>
                <w:color w:val="000000"/>
                <w:sz w:val="22"/>
                <w:szCs w:val="22"/>
              </w:rPr>
            </w:pPr>
            <w:r w:rsidRPr="00E619C8">
              <w:rPr>
                <w:rFonts w:ascii="Arial" w:hAnsi="Arial" w:cs="Arial"/>
                <w:color w:val="000000"/>
                <w:sz w:val="22"/>
                <w:szCs w:val="22"/>
              </w:rPr>
              <w:t>Dinas Koperasi Usaha Kecil dan Menengah</w:t>
            </w:r>
          </w:p>
        </w:tc>
        <w:tc>
          <w:tcPr>
            <w:tcW w:w="2860"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1BAD2D9D"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Economy</w:t>
            </w:r>
          </w:p>
        </w:tc>
        <w:tc>
          <w:tcPr>
            <w:tcW w:w="128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5DBB96E2"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33.94</w:t>
            </w:r>
          </w:p>
        </w:tc>
      </w:tr>
      <w:tr w:rsidR="00BF461D" w:rsidRPr="00E619C8" w14:paraId="26134849" w14:textId="77777777" w:rsidTr="00FC1D48">
        <w:trPr>
          <w:trHeight w:val="288"/>
        </w:trPr>
        <w:tc>
          <w:tcPr>
            <w:tcW w:w="48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6A20B2CF" w14:textId="77777777" w:rsidR="00BF461D" w:rsidRPr="00E619C8" w:rsidRDefault="00BF461D" w:rsidP="00FC1D48">
            <w:pPr>
              <w:spacing w:line="360" w:lineRule="auto"/>
              <w:rPr>
                <w:rFonts w:ascii="Arial" w:hAnsi="Arial" w:cs="Arial"/>
                <w:color w:val="000000"/>
                <w:sz w:val="22"/>
                <w:szCs w:val="22"/>
              </w:rPr>
            </w:pPr>
            <w:r w:rsidRPr="00E619C8">
              <w:rPr>
                <w:rFonts w:ascii="Arial" w:hAnsi="Arial" w:cs="Arial"/>
                <w:color w:val="000000"/>
                <w:sz w:val="22"/>
                <w:szCs w:val="22"/>
              </w:rPr>
              <w:t>Dinas Perindustrian</w:t>
            </w:r>
          </w:p>
        </w:tc>
        <w:tc>
          <w:tcPr>
            <w:tcW w:w="2860" w:type="dxa"/>
            <w:vMerge/>
            <w:tcBorders>
              <w:top w:val="nil"/>
              <w:left w:val="single" w:sz="4" w:space="0" w:color="auto"/>
              <w:bottom w:val="single" w:sz="4" w:space="0" w:color="000000"/>
              <w:right w:val="single" w:sz="4" w:space="0" w:color="auto"/>
            </w:tcBorders>
            <w:vAlign w:val="center"/>
            <w:hideMark/>
          </w:tcPr>
          <w:p w14:paraId="03788E4A" w14:textId="77777777" w:rsidR="00BF461D" w:rsidRPr="00E619C8" w:rsidRDefault="00BF461D">
            <w:pPr>
              <w:rPr>
                <w:rFonts w:ascii="Arial" w:hAnsi="Arial" w:cs="Arial"/>
                <w:color w:val="000000"/>
                <w:sz w:val="22"/>
                <w:szCs w:val="22"/>
              </w:rPr>
            </w:pPr>
          </w:p>
        </w:tc>
        <w:tc>
          <w:tcPr>
            <w:tcW w:w="1285" w:type="dxa"/>
            <w:vMerge/>
            <w:tcBorders>
              <w:top w:val="nil"/>
              <w:left w:val="single" w:sz="4" w:space="0" w:color="auto"/>
              <w:bottom w:val="single" w:sz="4" w:space="0" w:color="000000"/>
              <w:right w:val="single" w:sz="4" w:space="0" w:color="auto"/>
            </w:tcBorders>
            <w:vAlign w:val="center"/>
            <w:hideMark/>
          </w:tcPr>
          <w:p w14:paraId="42F758B7" w14:textId="77777777" w:rsidR="00BF461D" w:rsidRPr="00E619C8" w:rsidRDefault="00BF461D">
            <w:pPr>
              <w:rPr>
                <w:rFonts w:ascii="Arial" w:hAnsi="Arial" w:cs="Arial"/>
                <w:color w:val="000000"/>
                <w:sz w:val="22"/>
                <w:szCs w:val="22"/>
              </w:rPr>
            </w:pPr>
          </w:p>
        </w:tc>
      </w:tr>
      <w:tr w:rsidR="00BF461D" w:rsidRPr="00E619C8" w14:paraId="08ED11B9" w14:textId="77777777" w:rsidTr="00FC1D48">
        <w:trPr>
          <w:trHeight w:val="288"/>
        </w:trPr>
        <w:tc>
          <w:tcPr>
            <w:tcW w:w="4855" w:type="dxa"/>
            <w:tcBorders>
              <w:top w:val="single" w:sz="4" w:space="0" w:color="auto"/>
              <w:left w:val="single" w:sz="4" w:space="0" w:color="auto"/>
              <w:bottom w:val="single" w:sz="4" w:space="0" w:color="auto"/>
              <w:right w:val="single" w:sz="4" w:space="0" w:color="auto"/>
            </w:tcBorders>
            <w:shd w:val="clear" w:color="000000" w:fill="FFFFFF"/>
            <w:noWrap/>
            <w:vAlign w:val="bottom"/>
            <w:hideMark/>
          </w:tcPr>
          <w:p w14:paraId="4CC8F043" w14:textId="77777777" w:rsidR="00BF461D" w:rsidRPr="00E619C8" w:rsidRDefault="00BF461D" w:rsidP="00FC1D48">
            <w:pPr>
              <w:spacing w:line="360" w:lineRule="auto"/>
              <w:rPr>
                <w:rFonts w:ascii="Arial" w:hAnsi="Arial" w:cs="Arial"/>
                <w:color w:val="000000"/>
                <w:sz w:val="22"/>
                <w:szCs w:val="22"/>
              </w:rPr>
            </w:pPr>
            <w:r w:rsidRPr="00E619C8">
              <w:rPr>
                <w:rFonts w:ascii="Arial" w:hAnsi="Arial" w:cs="Arial"/>
                <w:color w:val="000000"/>
                <w:sz w:val="22"/>
                <w:szCs w:val="22"/>
              </w:rPr>
              <w:t>Dinas Pertanian dan Perkebunan</w:t>
            </w:r>
          </w:p>
        </w:tc>
        <w:tc>
          <w:tcPr>
            <w:tcW w:w="2860" w:type="dxa"/>
            <w:vMerge/>
            <w:tcBorders>
              <w:top w:val="nil"/>
              <w:left w:val="single" w:sz="4" w:space="0" w:color="auto"/>
              <w:bottom w:val="single" w:sz="4" w:space="0" w:color="000000"/>
              <w:right w:val="single" w:sz="4" w:space="0" w:color="auto"/>
            </w:tcBorders>
            <w:vAlign w:val="center"/>
            <w:hideMark/>
          </w:tcPr>
          <w:p w14:paraId="53B608B7" w14:textId="77777777" w:rsidR="00BF461D" w:rsidRPr="00E619C8" w:rsidRDefault="00BF461D">
            <w:pPr>
              <w:rPr>
                <w:rFonts w:ascii="Arial" w:hAnsi="Arial" w:cs="Arial"/>
                <w:color w:val="000000"/>
                <w:sz w:val="22"/>
                <w:szCs w:val="22"/>
              </w:rPr>
            </w:pPr>
          </w:p>
        </w:tc>
        <w:tc>
          <w:tcPr>
            <w:tcW w:w="1285" w:type="dxa"/>
            <w:vMerge/>
            <w:tcBorders>
              <w:top w:val="nil"/>
              <w:left w:val="single" w:sz="4" w:space="0" w:color="auto"/>
              <w:bottom w:val="single" w:sz="4" w:space="0" w:color="000000"/>
              <w:right w:val="single" w:sz="4" w:space="0" w:color="auto"/>
            </w:tcBorders>
            <w:vAlign w:val="center"/>
            <w:hideMark/>
          </w:tcPr>
          <w:p w14:paraId="09792E2C" w14:textId="77777777" w:rsidR="00BF461D" w:rsidRPr="00E619C8" w:rsidRDefault="00BF461D">
            <w:pPr>
              <w:rPr>
                <w:rFonts w:ascii="Arial" w:hAnsi="Arial" w:cs="Arial"/>
                <w:color w:val="000000"/>
                <w:sz w:val="22"/>
                <w:szCs w:val="22"/>
              </w:rPr>
            </w:pPr>
          </w:p>
        </w:tc>
      </w:tr>
      <w:tr w:rsidR="00BF461D" w:rsidRPr="00E619C8" w14:paraId="5D7F891B" w14:textId="77777777" w:rsidTr="00BF461D">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09CDA17B" w14:textId="77777777" w:rsidR="00BF461D" w:rsidRPr="00E619C8" w:rsidRDefault="00BF461D" w:rsidP="00FC1D48">
            <w:pPr>
              <w:spacing w:line="360" w:lineRule="auto"/>
              <w:rPr>
                <w:rFonts w:ascii="Arial" w:hAnsi="Arial" w:cs="Arial"/>
                <w:color w:val="000000"/>
                <w:sz w:val="22"/>
                <w:szCs w:val="22"/>
              </w:rPr>
            </w:pPr>
            <w:r w:rsidRPr="00E619C8">
              <w:rPr>
                <w:rFonts w:ascii="Arial" w:hAnsi="Arial" w:cs="Arial"/>
                <w:color w:val="000000"/>
                <w:sz w:val="22"/>
                <w:szCs w:val="22"/>
              </w:rPr>
              <w:t>RSUD NTB</w:t>
            </w:r>
          </w:p>
        </w:tc>
        <w:tc>
          <w:tcPr>
            <w:tcW w:w="2860" w:type="dxa"/>
            <w:vMerge w:val="restart"/>
            <w:tcBorders>
              <w:top w:val="nil"/>
              <w:left w:val="single" w:sz="4" w:space="0" w:color="auto"/>
              <w:bottom w:val="nil"/>
              <w:right w:val="single" w:sz="4" w:space="0" w:color="auto"/>
            </w:tcBorders>
            <w:shd w:val="clear" w:color="000000" w:fill="FFFFFF"/>
            <w:noWrap/>
            <w:vAlign w:val="center"/>
            <w:hideMark/>
          </w:tcPr>
          <w:p w14:paraId="30B892CC"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Health</w:t>
            </w:r>
          </w:p>
        </w:tc>
        <w:tc>
          <w:tcPr>
            <w:tcW w:w="128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33E46EE8"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31.12</w:t>
            </w:r>
          </w:p>
        </w:tc>
      </w:tr>
      <w:tr w:rsidR="00BF461D" w:rsidRPr="00E619C8" w14:paraId="7719153A" w14:textId="77777777" w:rsidTr="00BF461D">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00BBADF3" w14:textId="77777777" w:rsidR="00BF461D" w:rsidRPr="00E619C8" w:rsidRDefault="00BF461D" w:rsidP="00FC1D48">
            <w:pPr>
              <w:spacing w:line="360" w:lineRule="auto"/>
              <w:rPr>
                <w:rFonts w:ascii="Arial" w:hAnsi="Arial" w:cs="Arial"/>
                <w:color w:val="000000"/>
                <w:sz w:val="22"/>
                <w:szCs w:val="22"/>
              </w:rPr>
            </w:pPr>
            <w:r w:rsidRPr="00E619C8">
              <w:rPr>
                <w:rFonts w:ascii="Arial" w:hAnsi="Arial" w:cs="Arial"/>
                <w:color w:val="000000"/>
                <w:sz w:val="22"/>
                <w:szCs w:val="22"/>
              </w:rPr>
              <w:t>Rumah Sakit H. L. Manambai Abdul Kadir</w:t>
            </w:r>
          </w:p>
        </w:tc>
        <w:tc>
          <w:tcPr>
            <w:tcW w:w="2860" w:type="dxa"/>
            <w:vMerge/>
            <w:tcBorders>
              <w:top w:val="nil"/>
              <w:left w:val="single" w:sz="4" w:space="0" w:color="auto"/>
              <w:bottom w:val="nil"/>
              <w:right w:val="single" w:sz="4" w:space="0" w:color="auto"/>
            </w:tcBorders>
            <w:vAlign w:val="center"/>
            <w:hideMark/>
          </w:tcPr>
          <w:p w14:paraId="3B0CEE49" w14:textId="77777777" w:rsidR="00BF461D" w:rsidRPr="00E619C8" w:rsidRDefault="00BF461D">
            <w:pPr>
              <w:rPr>
                <w:rFonts w:ascii="Arial" w:hAnsi="Arial" w:cs="Arial"/>
                <w:color w:val="000000"/>
                <w:sz w:val="22"/>
                <w:szCs w:val="22"/>
              </w:rPr>
            </w:pPr>
          </w:p>
        </w:tc>
        <w:tc>
          <w:tcPr>
            <w:tcW w:w="1285" w:type="dxa"/>
            <w:vMerge/>
            <w:tcBorders>
              <w:top w:val="nil"/>
              <w:left w:val="single" w:sz="4" w:space="0" w:color="auto"/>
              <w:bottom w:val="single" w:sz="4" w:space="0" w:color="000000"/>
              <w:right w:val="single" w:sz="4" w:space="0" w:color="auto"/>
            </w:tcBorders>
            <w:vAlign w:val="center"/>
            <w:hideMark/>
          </w:tcPr>
          <w:p w14:paraId="7A1E4A66" w14:textId="77777777" w:rsidR="00BF461D" w:rsidRPr="00E619C8" w:rsidRDefault="00BF461D">
            <w:pPr>
              <w:rPr>
                <w:rFonts w:ascii="Arial" w:hAnsi="Arial" w:cs="Arial"/>
                <w:color w:val="000000"/>
                <w:sz w:val="22"/>
                <w:szCs w:val="22"/>
              </w:rPr>
            </w:pPr>
          </w:p>
        </w:tc>
      </w:tr>
      <w:tr w:rsidR="00BF461D" w:rsidRPr="00E619C8" w14:paraId="0A639131" w14:textId="77777777" w:rsidTr="00BF461D">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18503ABF" w14:textId="77777777" w:rsidR="00BF461D" w:rsidRPr="00E619C8" w:rsidRDefault="00BF461D" w:rsidP="00FC1D48">
            <w:pPr>
              <w:spacing w:line="360" w:lineRule="auto"/>
              <w:rPr>
                <w:rFonts w:ascii="Arial" w:hAnsi="Arial" w:cs="Arial"/>
                <w:color w:val="000000"/>
                <w:sz w:val="22"/>
                <w:szCs w:val="22"/>
              </w:rPr>
            </w:pPr>
            <w:r w:rsidRPr="00E619C8">
              <w:rPr>
                <w:rFonts w:ascii="Arial" w:hAnsi="Arial" w:cs="Arial"/>
                <w:color w:val="000000"/>
                <w:sz w:val="22"/>
                <w:szCs w:val="22"/>
              </w:rPr>
              <w:t>Rumah Sakit Jiwa Mutiara Sukma Provinsi</w:t>
            </w:r>
          </w:p>
        </w:tc>
        <w:tc>
          <w:tcPr>
            <w:tcW w:w="2860" w:type="dxa"/>
            <w:vMerge/>
            <w:tcBorders>
              <w:top w:val="nil"/>
              <w:left w:val="single" w:sz="4" w:space="0" w:color="auto"/>
              <w:bottom w:val="nil"/>
              <w:right w:val="single" w:sz="4" w:space="0" w:color="auto"/>
            </w:tcBorders>
            <w:vAlign w:val="center"/>
            <w:hideMark/>
          </w:tcPr>
          <w:p w14:paraId="58EA81C9" w14:textId="77777777" w:rsidR="00BF461D" w:rsidRPr="00E619C8" w:rsidRDefault="00BF461D">
            <w:pPr>
              <w:rPr>
                <w:rFonts w:ascii="Arial" w:hAnsi="Arial" w:cs="Arial"/>
                <w:color w:val="000000"/>
                <w:sz w:val="22"/>
                <w:szCs w:val="22"/>
              </w:rPr>
            </w:pPr>
          </w:p>
        </w:tc>
        <w:tc>
          <w:tcPr>
            <w:tcW w:w="1285" w:type="dxa"/>
            <w:vMerge/>
            <w:tcBorders>
              <w:top w:val="nil"/>
              <w:left w:val="single" w:sz="4" w:space="0" w:color="auto"/>
              <w:bottom w:val="single" w:sz="4" w:space="0" w:color="000000"/>
              <w:right w:val="single" w:sz="4" w:space="0" w:color="auto"/>
            </w:tcBorders>
            <w:vAlign w:val="center"/>
            <w:hideMark/>
          </w:tcPr>
          <w:p w14:paraId="3781D20A" w14:textId="77777777" w:rsidR="00BF461D" w:rsidRPr="00E619C8" w:rsidRDefault="00BF461D">
            <w:pPr>
              <w:rPr>
                <w:rFonts w:ascii="Arial" w:hAnsi="Arial" w:cs="Arial"/>
                <w:color w:val="000000"/>
                <w:sz w:val="22"/>
                <w:szCs w:val="22"/>
              </w:rPr>
            </w:pPr>
          </w:p>
        </w:tc>
      </w:tr>
      <w:tr w:rsidR="00BF461D" w:rsidRPr="00E619C8" w14:paraId="64C52D72" w14:textId="77777777" w:rsidTr="00BF461D">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28C5CA30" w14:textId="77777777" w:rsidR="00BF461D" w:rsidRPr="00E619C8" w:rsidRDefault="00BF461D" w:rsidP="00FC1D48">
            <w:pPr>
              <w:spacing w:line="360" w:lineRule="auto"/>
              <w:rPr>
                <w:rFonts w:ascii="Arial" w:hAnsi="Arial" w:cs="Arial"/>
                <w:color w:val="000000"/>
                <w:sz w:val="22"/>
                <w:szCs w:val="22"/>
              </w:rPr>
            </w:pPr>
            <w:r w:rsidRPr="00E619C8">
              <w:rPr>
                <w:rFonts w:ascii="Arial" w:hAnsi="Arial" w:cs="Arial"/>
                <w:color w:val="000000"/>
                <w:sz w:val="22"/>
                <w:szCs w:val="22"/>
              </w:rPr>
              <w:t>Rumah Sakit Mandalika</w:t>
            </w:r>
          </w:p>
        </w:tc>
        <w:tc>
          <w:tcPr>
            <w:tcW w:w="2860" w:type="dxa"/>
            <w:vMerge/>
            <w:tcBorders>
              <w:top w:val="nil"/>
              <w:left w:val="single" w:sz="4" w:space="0" w:color="auto"/>
              <w:bottom w:val="nil"/>
              <w:right w:val="single" w:sz="4" w:space="0" w:color="auto"/>
            </w:tcBorders>
            <w:vAlign w:val="center"/>
            <w:hideMark/>
          </w:tcPr>
          <w:p w14:paraId="46EA4E8E" w14:textId="77777777" w:rsidR="00BF461D" w:rsidRPr="00E619C8" w:rsidRDefault="00BF461D">
            <w:pPr>
              <w:rPr>
                <w:rFonts w:ascii="Arial" w:hAnsi="Arial" w:cs="Arial"/>
                <w:color w:val="000000"/>
                <w:sz w:val="22"/>
                <w:szCs w:val="22"/>
              </w:rPr>
            </w:pPr>
          </w:p>
        </w:tc>
        <w:tc>
          <w:tcPr>
            <w:tcW w:w="1285" w:type="dxa"/>
            <w:vMerge/>
            <w:tcBorders>
              <w:top w:val="nil"/>
              <w:left w:val="single" w:sz="4" w:space="0" w:color="auto"/>
              <w:bottom w:val="single" w:sz="4" w:space="0" w:color="000000"/>
              <w:right w:val="single" w:sz="4" w:space="0" w:color="auto"/>
            </w:tcBorders>
            <w:vAlign w:val="center"/>
            <w:hideMark/>
          </w:tcPr>
          <w:p w14:paraId="25D4837E" w14:textId="77777777" w:rsidR="00BF461D" w:rsidRPr="00E619C8" w:rsidRDefault="00BF461D">
            <w:pPr>
              <w:rPr>
                <w:rFonts w:ascii="Arial" w:hAnsi="Arial" w:cs="Arial"/>
                <w:color w:val="000000"/>
                <w:sz w:val="22"/>
                <w:szCs w:val="22"/>
              </w:rPr>
            </w:pPr>
          </w:p>
        </w:tc>
      </w:tr>
      <w:tr w:rsidR="00BF461D" w:rsidRPr="00E619C8" w14:paraId="4C2B84B9" w14:textId="77777777" w:rsidTr="00BF461D">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7B6D62D9" w14:textId="77777777" w:rsidR="00BF461D" w:rsidRPr="00E619C8" w:rsidRDefault="00BF461D" w:rsidP="00FC1D48">
            <w:pPr>
              <w:spacing w:line="360" w:lineRule="auto"/>
              <w:rPr>
                <w:rFonts w:ascii="Arial" w:hAnsi="Arial" w:cs="Arial"/>
                <w:color w:val="000000"/>
                <w:sz w:val="22"/>
                <w:szCs w:val="22"/>
              </w:rPr>
            </w:pPr>
            <w:r w:rsidRPr="00E619C8">
              <w:rPr>
                <w:rFonts w:ascii="Arial" w:hAnsi="Arial" w:cs="Arial"/>
                <w:color w:val="000000"/>
                <w:sz w:val="22"/>
                <w:szCs w:val="22"/>
              </w:rPr>
              <w:t>Dinas Pemuda dan Olahraga</w:t>
            </w:r>
          </w:p>
        </w:tc>
        <w:tc>
          <w:tcPr>
            <w:tcW w:w="2860" w:type="dxa"/>
            <w:vMerge w:val="restart"/>
            <w:tcBorders>
              <w:top w:val="single" w:sz="4" w:space="0" w:color="auto"/>
              <w:left w:val="single" w:sz="4" w:space="0" w:color="auto"/>
              <w:bottom w:val="single" w:sz="4" w:space="0" w:color="auto"/>
              <w:right w:val="single" w:sz="4" w:space="0" w:color="auto"/>
            </w:tcBorders>
            <w:shd w:val="clear" w:color="000000" w:fill="FFFFFF"/>
            <w:noWrap/>
            <w:vAlign w:val="center"/>
            <w:hideMark/>
          </w:tcPr>
          <w:p w14:paraId="2E762960"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Culture, Sports and Recreation</w:t>
            </w:r>
          </w:p>
        </w:tc>
        <w:tc>
          <w:tcPr>
            <w:tcW w:w="1285" w:type="dxa"/>
            <w:vMerge w:val="restart"/>
            <w:tcBorders>
              <w:top w:val="nil"/>
              <w:left w:val="single" w:sz="4" w:space="0" w:color="auto"/>
              <w:bottom w:val="single" w:sz="4" w:space="0" w:color="000000"/>
              <w:right w:val="single" w:sz="4" w:space="0" w:color="auto"/>
            </w:tcBorders>
            <w:shd w:val="clear" w:color="000000" w:fill="FFFFFF"/>
            <w:noWrap/>
            <w:vAlign w:val="center"/>
            <w:hideMark/>
          </w:tcPr>
          <w:p w14:paraId="061E1C2C"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39.59</w:t>
            </w:r>
          </w:p>
        </w:tc>
      </w:tr>
      <w:tr w:rsidR="00BF461D" w:rsidRPr="00E619C8" w14:paraId="1BD63859" w14:textId="77777777" w:rsidTr="00BF461D">
        <w:trPr>
          <w:trHeight w:val="288"/>
        </w:trPr>
        <w:tc>
          <w:tcPr>
            <w:tcW w:w="4855" w:type="dxa"/>
            <w:tcBorders>
              <w:top w:val="nil"/>
              <w:left w:val="single" w:sz="4" w:space="0" w:color="auto"/>
              <w:bottom w:val="single" w:sz="4" w:space="0" w:color="auto"/>
              <w:right w:val="single" w:sz="4" w:space="0" w:color="auto"/>
            </w:tcBorders>
            <w:shd w:val="clear" w:color="000000" w:fill="FFFFFF"/>
            <w:noWrap/>
            <w:vAlign w:val="bottom"/>
            <w:hideMark/>
          </w:tcPr>
          <w:p w14:paraId="3C8F84A6" w14:textId="77777777" w:rsidR="00BF461D" w:rsidRPr="00E619C8" w:rsidRDefault="00BF461D" w:rsidP="00FC1D48">
            <w:pPr>
              <w:spacing w:line="360" w:lineRule="auto"/>
              <w:rPr>
                <w:rFonts w:ascii="Arial" w:hAnsi="Arial" w:cs="Arial"/>
                <w:color w:val="000000"/>
                <w:sz w:val="22"/>
                <w:szCs w:val="22"/>
              </w:rPr>
            </w:pPr>
            <w:r w:rsidRPr="00E619C8">
              <w:rPr>
                <w:rFonts w:ascii="Arial" w:hAnsi="Arial" w:cs="Arial"/>
                <w:color w:val="000000"/>
                <w:sz w:val="22"/>
                <w:szCs w:val="22"/>
              </w:rPr>
              <w:t>Dinas Pariwisata</w:t>
            </w:r>
          </w:p>
        </w:tc>
        <w:tc>
          <w:tcPr>
            <w:tcW w:w="2860" w:type="dxa"/>
            <w:vMerge/>
            <w:tcBorders>
              <w:top w:val="single" w:sz="4" w:space="0" w:color="auto"/>
              <w:left w:val="single" w:sz="4" w:space="0" w:color="auto"/>
              <w:bottom w:val="single" w:sz="4" w:space="0" w:color="auto"/>
              <w:right w:val="single" w:sz="4" w:space="0" w:color="auto"/>
            </w:tcBorders>
            <w:vAlign w:val="center"/>
            <w:hideMark/>
          </w:tcPr>
          <w:p w14:paraId="68E0AD2B" w14:textId="77777777" w:rsidR="00BF461D" w:rsidRPr="00E619C8" w:rsidRDefault="00BF461D">
            <w:pPr>
              <w:rPr>
                <w:rFonts w:ascii="Arial" w:hAnsi="Arial" w:cs="Arial"/>
                <w:color w:val="000000"/>
                <w:sz w:val="22"/>
                <w:szCs w:val="22"/>
              </w:rPr>
            </w:pPr>
          </w:p>
        </w:tc>
        <w:tc>
          <w:tcPr>
            <w:tcW w:w="1285" w:type="dxa"/>
            <w:vMerge/>
            <w:tcBorders>
              <w:top w:val="nil"/>
              <w:left w:val="single" w:sz="4" w:space="0" w:color="auto"/>
              <w:bottom w:val="single" w:sz="4" w:space="0" w:color="000000"/>
              <w:right w:val="single" w:sz="4" w:space="0" w:color="auto"/>
            </w:tcBorders>
            <w:vAlign w:val="center"/>
            <w:hideMark/>
          </w:tcPr>
          <w:p w14:paraId="0E6034CC" w14:textId="77777777" w:rsidR="00BF461D" w:rsidRPr="00E619C8" w:rsidRDefault="00BF461D">
            <w:pPr>
              <w:rPr>
                <w:rFonts w:ascii="Arial" w:hAnsi="Arial" w:cs="Arial"/>
                <w:color w:val="000000"/>
                <w:sz w:val="22"/>
                <w:szCs w:val="22"/>
              </w:rPr>
            </w:pPr>
          </w:p>
        </w:tc>
      </w:tr>
    </w:tbl>
    <w:p w14:paraId="50B36B1F" w14:textId="57E16F3F" w:rsidR="002033A5" w:rsidRPr="00E619C8" w:rsidRDefault="00E113EC">
      <w:pPr>
        <w:spacing w:before="240" w:after="240" w:line="300" w:lineRule="auto"/>
        <w:jc w:val="center"/>
        <w:rPr>
          <w:rFonts w:ascii="Arial" w:eastAsia="Arial" w:hAnsi="Arial" w:cs="Arial"/>
          <w:sz w:val="20"/>
          <w:szCs w:val="20"/>
        </w:rPr>
      </w:pPr>
      <w:r w:rsidRPr="00E619C8">
        <w:rPr>
          <w:rFonts w:ascii="Arial" w:eastAsia="Arial" w:hAnsi="Arial" w:cs="Arial"/>
          <w:sz w:val="20"/>
          <w:szCs w:val="20"/>
        </w:rPr>
        <w:t xml:space="preserve">Table </w:t>
      </w:r>
      <w:r w:rsidR="00DD0F1A" w:rsidRPr="00E619C8">
        <w:rPr>
          <w:rFonts w:ascii="Arial" w:eastAsia="Arial" w:hAnsi="Arial" w:cs="Arial"/>
          <w:sz w:val="20"/>
          <w:szCs w:val="20"/>
        </w:rPr>
        <w:t>10</w:t>
      </w:r>
      <w:r w:rsidRPr="00E619C8">
        <w:rPr>
          <w:rFonts w:ascii="Arial" w:eastAsia="Arial" w:hAnsi="Arial" w:cs="Arial"/>
          <w:sz w:val="20"/>
          <w:szCs w:val="20"/>
        </w:rPr>
        <w:t>. Average ITI Scores by Sector Category</w:t>
      </w:r>
    </w:p>
    <w:p w14:paraId="10FB5E14" w14:textId="7E759A33" w:rsidR="0054757E" w:rsidRPr="00E619C8" w:rsidRDefault="00BF461D" w:rsidP="00B21013">
      <w:pPr>
        <w:spacing w:before="240" w:after="240" w:line="300" w:lineRule="auto"/>
        <w:ind w:hanging="567"/>
        <w:rPr>
          <w:rFonts w:ascii="Arial" w:eastAsia="Arial" w:hAnsi="Arial" w:cs="Arial"/>
          <w:sz w:val="20"/>
          <w:szCs w:val="20"/>
        </w:rPr>
      </w:pPr>
      <w:r w:rsidRPr="00E619C8">
        <w:rPr>
          <w:noProof/>
        </w:rPr>
        <w:drawing>
          <wp:inline distT="0" distB="0" distL="0" distR="0" wp14:anchorId="161461A6" wp14:editId="3E6D2B98">
            <wp:extent cx="6364587" cy="3766185"/>
            <wp:effectExtent l="0" t="0" r="11430" b="18415"/>
            <wp:docPr id="853648930" name="Chart 1">
              <a:extLst xmlns:a="http://schemas.openxmlformats.org/drawingml/2006/main">
                <a:ext uri="{FF2B5EF4-FFF2-40B4-BE49-F238E27FC236}">
                  <a16:creationId xmlns:a16="http://schemas.microsoft.com/office/drawing/2014/main" id="{764927F6-E53A-40E3-8CED-04BF667C4FC7}"/>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14:paraId="58B5A9FB" w14:textId="03F38015" w:rsidR="0054757E" w:rsidRPr="00E619C8" w:rsidRDefault="00E113EC" w:rsidP="0054757E">
      <w:pPr>
        <w:spacing w:before="240" w:after="240" w:line="300" w:lineRule="auto"/>
        <w:jc w:val="center"/>
        <w:rPr>
          <w:rFonts w:ascii="Arial" w:eastAsia="Arial" w:hAnsi="Arial" w:cs="Arial"/>
          <w:b/>
          <w:bCs/>
          <w:color w:val="C00000"/>
          <w:sz w:val="22"/>
          <w:szCs w:val="22"/>
        </w:rPr>
      </w:pPr>
      <w:bookmarkStart w:id="31" w:name="_heading=h.qcgvphfcn3xl" w:colFirst="0" w:colLast="0"/>
      <w:bookmarkEnd w:id="31"/>
      <w:r w:rsidRPr="00E619C8">
        <w:rPr>
          <w:rFonts w:ascii="Arial" w:eastAsia="Arial" w:hAnsi="Arial" w:cs="Arial"/>
          <w:sz w:val="20"/>
          <w:szCs w:val="20"/>
        </w:rPr>
        <w:t xml:space="preserve">Figure </w:t>
      </w:r>
      <w:r w:rsidR="00DD0F1A" w:rsidRPr="00E619C8">
        <w:rPr>
          <w:rFonts w:ascii="Arial" w:eastAsia="Arial" w:hAnsi="Arial" w:cs="Arial"/>
          <w:sz w:val="20"/>
          <w:szCs w:val="20"/>
        </w:rPr>
        <w:t>1</w:t>
      </w:r>
      <w:r w:rsidR="00EB65C4" w:rsidRPr="00E619C8">
        <w:rPr>
          <w:rFonts w:ascii="Arial" w:eastAsia="Arial" w:hAnsi="Arial" w:cs="Arial"/>
          <w:sz w:val="20"/>
          <w:szCs w:val="20"/>
        </w:rPr>
        <w:t>1</w:t>
      </w:r>
      <w:r w:rsidRPr="00E619C8">
        <w:rPr>
          <w:rFonts w:ascii="Arial" w:eastAsia="Arial" w:hAnsi="Arial" w:cs="Arial"/>
          <w:sz w:val="20"/>
          <w:szCs w:val="20"/>
        </w:rPr>
        <w:t>. Average ITI Score by Sector Category</w:t>
      </w:r>
    </w:p>
    <w:p w14:paraId="2E700A21" w14:textId="5B03ACE1" w:rsidR="0054757E" w:rsidRPr="00E619C8" w:rsidRDefault="00E113EC" w:rsidP="007F3E4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The results show notable differences across sectors. Housing records the highest average ITI score (57.02), followed by Education (46.90). A middle-performing group includes Governance (39.99) and Culture, Sports and Recreation (39.59), while Water and Waste averages 36.20 and Economy averages 33.94. The lowest averages are observed in Health (31.12) and</w:t>
      </w:r>
      <w:r w:rsidR="00146E0B">
        <w:rPr>
          <w:rFonts w:ascii="Arial" w:eastAsia="Arial" w:hAnsi="Arial" w:cs="Arial"/>
          <w:sz w:val="22"/>
          <w:szCs w:val="22"/>
        </w:rPr>
        <w:t>, in particular, in</w:t>
      </w:r>
      <w:r w:rsidRPr="00E619C8">
        <w:rPr>
          <w:rFonts w:ascii="Arial" w:eastAsia="Arial" w:hAnsi="Arial" w:cs="Arial"/>
          <w:sz w:val="22"/>
          <w:szCs w:val="22"/>
        </w:rPr>
        <w:t xml:space="preserve"> Transport (24.68).</w:t>
      </w:r>
    </w:p>
    <w:p w14:paraId="0D31B22A" w14:textId="29DBA57F" w:rsidR="00787945" w:rsidRPr="00E619C8" w:rsidRDefault="00787945" w:rsidP="00787945">
      <w:pPr>
        <w:spacing w:before="240" w:after="240" w:line="300" w:lineRule="auto"/>
        <w:jc w:val="both"/>
        <w:rPr>
          <w:rFonts w:ascii="Arial" w:eastAsia="Arial" w:hAnsi="Arial" w:cs="Arial"/>
          <w:sz w:val="22"/>
          <w:szCs w:val="22"/>
        </w:rPr>
      </w:pPr>
      <w:bookmarkStart w:id="32" w:name="_heading=h.2mi402x83kwc" w:colFirst="0" w:colLast="0"/>
      <w:bookmarkEnd w:id="32"/>
      <w:r w:rsidRPr="00E619C8">
        <w:rPr>
          <w:rFonts w:ascii="Arial" w:eastAsia="Arial" w:hAnsi="Arial" w:cs="Arial"/>
          <w:sz w:val="22"/>
          <w:szCs w:val="22"/>
        </w:rPr>
        <w:t xml:space="preserve">These findings suggest that transparency performance may vary substantially </w:t>
      </w:r>
      <w:r w:rsidR="00146E0B">
        <w:rPr>
          <w:rFonts w:ascii="Arial" w:eastAsia="Arial" w:hAnsi="Arial" w:cs="Arial"/>
          <w:sz w:val="22"/>
          <w:szCs w:val="22"/>
        </w:rPr>
        <w:t>across sectors</w:t>
      </w:r>
      <w:r w:rsidRPr="00E619C8">
        <w:rPr>
          <w:rFonts w:ascii="Arial" w:eastAsia="Arial" w:hAnsi="Arial" w:cs="Arial"/>
          <w:sz w:val="22"/>
          <w:szCs w:val="22"/>
        </w:rPr>
        <w:t xml:space="preserve">. While sectors involving large-scale infrastructure projects may face </w:t>
      </w:r>
      <w:r w:rsidR="00146E0B">
        <w:rPr>
          <w:rFonts w:ascii="Arial" w:eastAsia="Arial" w:hAnsi="Arial" w:cs="Arial"/>
          <w:sz w:val="22"/>
          <w:szCs w:val="22"/>
        </w:rPr>
        <w:t>greater</w:t>
      </w:r>
      <w:r w:rsidRPr="00E619C8">
        <w:rPr>
          <w:rFonts w:ascii="Arial" w:eastAsia="Arial" w:hAnsi="Arial" w:cs="Arial"/>
          <w:sz w:val="22"/>
          <w:szCs w:val="22"/>
        </w:rPr>
        <w:t xml:space="preserve"> complexity and procurement risks, the relatively low performance observed in the transport sector is particularly noteworthy given its direct impact on citizens’ daily lives. As a sector that frequently generates public complaints and requires high levels of service responsiveness, transport should be more open to public scrutiny and demonstrate stronger transparency practices. Conversely, sectors such as housing and education appear to demonstrate stronger compliance and governance practices.</w:t>
      </w:r>
    </w:p>
    <w:p w14:paraId="77D2CCD7" w14:textId="77777777" w:rsidR="002033A5" w:rsidRPr="00E619C8" w:rsidRDefault="00E113EC">
      <w:pPr>
        <w:keepNext/>
        <w:keepLines/>
        <w:spacing w:before="240" w:after="240" w:line="300" w:lineRule="auto"/>
        <w:jc w:val="both"/>
        <w:rPr>
          <w:rFonts w:ascii="Arial" w:eastAsia="Arial" w:hAnsi="Arial" w:cs="Arial"/>
          <w:b/>
          <w:bCs/>
          <w:color w:val="C00000"/>
          <w:sz w:val="22"/>
          <w:szCs w:val="22"/>
        </w:rPr>
      </w:pPr>
      <w:r w:rsidRPr="00E619C8">
        <w:rPr>
          <w:rFonts w:ascii="Arial" w:eastAsia="Arial" w:hAnsi="Arial" w:cs="Arial"/>
          <w:sz w:val="22"/>
          <w:szCs w:val="22"/>
        </w:rPr>
        <w:t>From a policy perspective, these results indicate the need for sector-specific strategies to improve procurement transparency and accountability. Special attention should be directed toward sectors with lower ITI scores, particularly transport and health, to strengthen monitoring systems, procurement planning, and institutional capacity.</w:t>
      </w:r>
    </w:p>
    <w:p w14:paraId="6D09597A" w14:textId="77777777" w:rsidR="002033A5" w:rsidRPr="00E619C8" w:rsidRDefault="00E113EC">
      <w:pPr>
        <w:keepNext/>
        <w:keepLines/>
        <w:pBdr>
          <w:top w:val="nil"/>
          <w:left w:val="nil"/>
          <w:bottom w:val="nil"/>
          <w:right w:val="nil"/>
          <w:between w:val="nil"/>
        </w:pBdr>
        <w:spacing w:before="240" w:after="160" w:line="300" w:lineRule="auto"/>
        <w:jc w:val="both"/>
        <w:rPr>
          <w:rFonts w:ascii="Arial" w:eastAsia="Arial" w:hAnsi="Arial" w:cs="Arial"/>
          <w:b/>
          <w:bCs/>
          <w:color w:val="C00000"/>
          <w:sz w:val="22"/>
          <w:szCs w:val="22"/>
        </w:rPr>
      </w:pPr>
      <w:bookmarkStart w:id="33" w:name="_heading=h.k03up3n8a2xd" w:colFirst="0" w:colLast="0"/>
      <w:bookmarkEnd w:id="33"/>
      <w:r w:rsidRPr="00E619C8">
        <w:rPr>
          <w:rFonts w:ascii="Arial" w:eastAsia="Arial" w:hAnsi="Arial" w:cs="Arial"/>
          <w:b/>
          <w:bCs/>
          <w:color w:val="C00000"/>
          <w:sz w:val="22"/>
          <w:szCs w:val="22"/>
        </w:rPr>
        <w:t>3.2.4 Sub-rankings</w:t>
      </w:r>
    </w:p>
    <w:p w14:paraId="49F2E0FD" w14:textId="66C9401F" w:rsidR="00DD0F1A" w:rsidRPr="00E619C8" w:rsidRDefault="00E113EC">
      <w:pPr>
        <w:spacing w:before="240" w:after="240" w:line="300" w:lineRule="auto"/>
        <w:jc w:val="both"/>
        <w:rPr>
          <w:rFonts w:ascii="Arial" w:eastAsia="Arial" w:hAnsi="Arial" w:cs="Arial"/>
          <w:b/>
          <w:bCs/>
          <w:sz w:val="22"/>
          <w:szCs w:val="22"/>
        </w:rPr>
      </w:pPr>
      <w:r w:rsidRPr="00E619C8">
        <w:rPr>
          <w:rFonts w:ascii="Arial" w:eastAsia="Arial" w:hAnsi="Arial" w:cs="Arial"/>
          <w:sz w:val="22"/>
          <w:szCs w:val="22"/>
        </w:rPr>
        <w:t>sub-ranking tables with the top positions for each PE type.</w:t>
      </w:r>
    </w:p>
    <w:p w14:paraId="00519C70" w14:textId="1A79B3C9" w:rsidR="002033A5" w:rsidRPr="00E619C8" w:rsidRDefault="00E113EC">
      <w:pPr>
        <w:spacing w:before="240" w:after="240" w:line="300" w:lineRule="auto"/>
        <w:jc w:val="both"/>
        <w:rPr>
          <w:rFonts w:ascii="Arial" w:eastAsia="Arial" w:hAnsi="Arial" w:cs="Arial"/>
          <w:b/>
          <w:bCs/>
          <w:sz w:val="22"/>
          <w:szCs w:val="22"/>
        </w:rPr>
      </w:pPr>
      <w:r w:rsidRPr="00E619C8">
        <w:rPr>
          <w:rFonts w:ascii="Arial" w:eastAsia="Arial" w:hAnsi="Arial" w:cs="Arial"/>
          <w:b/>
          <w:bCs/>
          <w:sz w:val="22"/>
          <w:szCs w:val="22"/>
        </w:rPr>
        <w:t>Revenue and Financial Agencies</w:t>
      </w:r>
    </w:p>
    <w:tbl>
      <w:tblPr>
        <w:tblW w:w="7138" w:type="dxa"/>
        <w:jc w:val="center"/>
        <w:tblLook w:val="04A0" w:firstRow="1" w:lastRow="0" w:firstColumn="1" w:lastColumn="0" w:noHBand="0" w:noVBand="1"/>
      </w:tblPr>
      <w:tblGrid>
        <w:gridCol w:w="988"/>
        <w:gridCol w:w="4536"/>
        <w:gridCol w:w="1614"/>
      </w:tblGrid>
      <w:tr w:rsidR="00BF461D" w:rsidRPr="00E619C8" w14:paraId="463DDDE7" w14:textId="77777777" w:rsidTr="004819ED">
        <w:trPr>
          <w:trHeight w:val="300"/>
          <w:jc w:val="center"/>
        </w:trPr>
        <w:tc>
          <w:tcPr>
            <w:tcW w:w="988" w:type="dxa"/>
            <w:tcBorders>
              <w:top w:val="single" w:sz="4" w:space="0" w:color="auto"/>
              <w:left w:val="single" w:sz="4" w:space="0" w:color="auto"/>
              <w:bottom w:val="single" w:sz="4" w:space="0" w:color="auto"/>
              <w:right w:val="single" w:sz="4" w:space="0" w:color="auto"/>
            </w:tcBorders>
            <w:shd w:val="clear" w:color="auto" w:fill="C00000"/>
            <w:noWrap/>
            <w:vAlign w:val="center"/>
            <w:hideMark/>
          </w:tcPr>
          <w:p w14:paraId="35F9E3AF" w14:textId="77777777" w:rsidR="00BF461D" w:rsidRPr="00E619C8" w:rsidRDefault="00BF461D">
            <w:pPr>
              <w:jc w:val="center"/>
              <w:rPr>
                <w:rFonts w:ascii="Arial" w:hAnsi="Arial" w:cs="Arial"/>
                <w:b/>
                <w:bCs/>
                <w:color w:val="FFFFFF"/>
                <w:sz w:val="22"/>
                <w:szCs w:val="22"/>
              </w:rPr>
            </w:pPr>
            <w:r w:rsidRPr="00E619C8">
              <w:rPr>
                <w:rFonts w:ascii="Arial" w:hAnsi="Arial" w:cs="Arial"/>
                <w:b/>
                <w:bCs/>
                <w:color w:val="FFFFFF"/>
                <w:sz w:val="22"/>
                <w:szCs w:val="22"/>
              </w:rPr>
              <w:t>Rank</w:t>
            </w:r>
          </w:p>
        </w:tc>
        <w:tc>
          <w:tcPr>
            <w:tcW w:w="4536" w:type="dxa"/>
            <w:tcBorders>
              <w:top w:val="single" w:sz="4" w:space="0" w:color="auto"/>
              <w:left w:val="nil"/>
              <w:bottom w:val="single" w:sz="4" w:space="0" w:color="auto"/>
              <w:right w:val="single" w:sz="4" w:space="0" w:color="auto"/>
            </w:tcBorders>
            <w:shd w:val="clear" w:color="auto" w:fill="C00000"/>
            <w:noWrap/>
            <w:vAlign w:val="center"/>
            <w:hideMark/>
          </w:tcPr>
          <w:p w14:paraId="4EA078BB" w14:textId="77777777" w:rsidR="00BF461D" w:rsidRPr="00E619C8" w:rsidRDefault="00BF461D">
            <w:pPr>
              <w:jc w:val="center"/>
              <w:rPr>
                <w:rFonts w:ascii="Arial" w:hAnsi="Arial" w:cs="Arial"/>
                <w:b/>
                <w:bCs/>
                <w:color w:val="FFFFFF"/>
                <w:sz w:val="22"/>
                <w:szCs w:val="22"/>
              </w:rPr>
            </w:pPr>
            <w:r w:rsidRPr="00E619C8">
              <w:rPr>
                <w:rFonts w:ascii="Arial" w:hAnsi="Arial" w:cs="Arial"/>
                <w:b/>
                <w:bCs/>
                <w:color w:val="FFFFFF"/>
                <w:sz w:val="22"/>
                <w:szCs w:val="22"/>
              </w:rPr>
              <w:t>Procuring Entity</w:t>
            </w:r>
          </w:p>
        </w:tc>
        <w:tc>
          <w:tcPr>
            <w:tcW w:w="1614" w:type="dxa"/>
            <w:tcBorders>
              <w:top w:val="single" w:sz="4" w:space="0" w:color="auto"/>
              <w:left w:val="nil"/>
              <w:bottom w:val="single" w:sz="4" w:space="0" w:color="auto"/>
              <w:right w:val="single" w:sz="4" w:space="0" w:color="auto"/>
            </w:tcBorders>
            <w:shd w:val="clear" w:color="auto" w:fill="C00000"/>
            <w:noWrap/>
            <w:vAlign w:val="center"/>
            <w:hideMark/>
          </w:tcPr>
          <w:p w14:paraId="7D4474B2" w14:textId="77777777" w:rsidR="00BF461D" w:rsidRPr="00E619C8" w:rsidRDefault="00BF461D">
            <w:pPr>
              <w:jc w:val="center"/>
              <w:rPr>
                <w:rFonts w:ascii="Arial" w:hAnsi="Arial" w:cs="Arial"/>
                <w:b/>
                <w:bCs/>
                <w:color w:val="FFFFFF"/>
                <w:sz w:val="22"/>
                <w:szCs w:val="22"/>
              </w:rPr>
            </w:pPr>
            <w:r w:rsidRPr="00E619C8">
              <w:rPr>
                <w:rFonts w:ascii="Arial" w:hAnsi="Arial" w:cs="Arial"/>
                <w:b/>
                <w:bCs/>
                <w:color w:val="FFFFFF"/>
                <w:sz w:val="22"/>
                <w:szCs w:val="22"/>
              </w:rPr>
              <w:t>ITI Score</w:t>
            </w:r>
          </w:p>
        </w:tc>
      </w:tr>
      <w:tr w:rsidR="00BF461D" w:rsidRPr="00E619C8" w14:paraId="3733D859" w14:textId="77777777" w:rsidTr="004819ED">
        <w:trPr>
          <w:trHeight w:val="292"/>
          <w:jc w:val="center"/>
        </w:trPr>
        <w:tc>
          <w:tcPr>
            <w:tcW w:w="988" w:type="dxa"/>
            <w:tcBorders>
              <w:top w:val="nil"/>
              <w:left w:val="single" w:sz="4" w:space="0" w:color="auto"/>
              <w:bottom w:val="single" w:sz="4" w:space="0" w:color="auto"/>
              <w:right w:val="single" w:sz="4" w:space="0" w:color="auto"/>
            </w:tcBorders>
            <w:noWrap/>
            <w:vAlign w:val="center"/>
            <w:hideMark/>
          </w:tcPr>
          <w:p w14:paraId="4E76CFE4"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1</w:t>
            </w:r>
          </w:p>
        </w:tc>
        <w:tc>
          <w:tcPr>
            <w:tcW w:w="4536" w:type="dxa"/>
            <w:tcBorders>
              <w:top w:val="nil"/>
              <w:left w:val="nil"/>
              <w:bottom w:val="single" w:sz="4" w:space="0" w:color="auto"/>
              <w:right w:val="single" w:sz="4" w:space="0" w:color="auto"/>
            </w:tcBorders>
            <w:vAlign w:val="center"/>
            <w:hideMark/>
          </w:tcPr>
          <w:p w14:paraId="3F124A06" w14:textId="77777777" w:rsidR="00BF461D" w:rsidRPr="00E619C8" w:rsidRDefault="00BF461D" w:rsidP="00BF461D">
            <w:pPr>
              <w:jc w:val="center"/>
              <w:rPr>
                <w:rFonts w:ascii="Arial" w:hAnsi="Arial" w:cs="Arial"/>
                <w:color w:val="000000"/>
                <w:sz w:val="22"/>
                <w:szCs w:val="22"/>
              </w:rPr>
            </w:pPr>
            <w:r w:rsidRPr="00E619C8">
              <w:rPr>
                <w:rFonts w:ascii="Arial" w:hAnsi="Arial" w:cs="Arial"/>
                <w:color w:val="000000"/>
                <w:sz w:val="22"/>
                <w:szCs w:val="22"/>
              </w:rPr>
              <w:t>Badan Pengelolaan Pendapatan Daerah</w:t>
            </w:r>
          </w:p>
        </w:tc>
        <w:tc>
          <w:tcPr>
            <w:tcW w:w="1614" w:type="dxa"/>
            <w:tcBorders>
              <w:top w:val="nil"/>
              <w:left w:val="nil"/>
              <w:bottom w:val="single" w:sz="4" w:space="0" w:color="auto"/>
              <w:right w:val="single" w:sz="4" w:space="0" w:color="auto"/>
            </w:tcBorders>
            <w:noWrap/>
            <w:vAlign w:val="center"/>
            <w:hideMark/>
          </w:tcPr>
          <w:p w14:paraId="3BAEAD1C"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42.38</w:t>
            </w:r>
          </w:p>
        </w:tc>
      </w:tr>
    </w:tbl>
    <w:p w14:paraId="71E304CA" w14:textId="51ADC34C" w:rsidR="002033A5" w:rsidRPr="00E619C8" w:rsidRDefault="00E113EC">
      <w:pPr>
        <w:spacing w:before="240" w:after="240" w:line="300" w:lineRule="auto"/>
        <w:jc w:val="center"/>
        <w:rPr>
          <w:rFonts w:ascii="Arial" w:eastAsia="Arial" w:hAnsi="Arial" w:cs="Arial"/>
          <w:sz w:val="20"/>
          <w:szCs w:val="20"/>
        </w:rPr>
      </w:pPr>
      <w:r w:rsidRPr="00E619C8">
        <w:rPr>
          <w:rFonts w:ascii="Arial" w:eastAsia="Arial" w:hAnsi="Arial" w:cs="Arial"/>
          <w:sz w:val="20"/>
          <w:szCs w:val="20"/>
        </w:rPr>
        <w:t xml:space="preserve">Table </w:t>
      </w:r>
      <w:r w:rsidR="00DD0F1A" w:rsidRPr="00E619C8">
        <w:rPr>
          <w:rFonts w:ascii="Arial" w:eastAsia="Arial" w:hAnsi="Arial" w:cs="Arial"/>
          <w:sz w:val="20"/>
          <w:szCs w:val="20"/>
        </w:rPr>
        <w:t>11</w:t>
      </w:r>
      <w:r w:rsidRPr="00E619C8">
        <w:rPr>
          <w:rFonts w:ascii="Arial" w:eastAsia="Arial" w:hAnsi="Arial" w:cs="Arial"/>
          <w:sz w:val="20"/>
          <w:szCs w:val="20"/>
        </w:rPr>
        <w:t>. Revenue and Financial Agencies ITI Score</w:t>
      </w:r>
    </w:p>
    <w:p w14:paraId="2D3BA98D" w14:textId="7777777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As the only revenue agency assessed, the Regional Revenue Management Agency obtained a moderate ITI score (42.38). While comparison within the same type is not possible, its score is higher than the average of several local government agencies, suggesting relatively stronger procurement transparency and compliance practices.</w:t>
      </w:r>
    </w:p>
    <w:p w14:paraId="64E45CEA" w14:textId="77777777" w:rsidR="002033A5" w:rsidRPr="00E619C8" w:rsidRDefault="00E113EC">
      <w:pPr>
        <w:spacing w:before="240" w:after="240" w:line="300" w:lineRule="auto"/>
        <w:jc w:val="both"/>
        <w:rPr>
          <w:rFonts w:ascii="Arial" w:eastAsia="Arial" w:hAnsi="Arial" w:cs="Arial"/>
          <w:b/>
          <w:bCs/>
          <w:sz w:val="22"/>
          <w:szCs w:val="22"/>
        </w:rPr>
      </w:pPr>
      <w:r w:rsidRPr="00E619C8">
        <w:rPr>
          <w:rFonts w:ascii="Arial" w:eastAsia="Arial" w:hAnsi="Arial" w:cs="Arial"/>
          <w:b/>
          <w:bCs/>
          <w:sz w:val="22"/>
          <w:szCs w:val="22"/>
        </w:rPr>
        <w:t>Local Government Agencies (Dinas)</w:t>
      </w:r>
    </w:p>
    <w:tbl>
      <w:tblPr>
        <w:tblW w:w="7802" w:type="dxa"/>
        <w:jc w:val="center"/>
        <w:tblLook w:val="04A0" w:firstRow="1" w:lastRow="0" w:firstColumn="1" w:lastColumn="0" w:noHBand="0" w:noVBand="1"/>
      </w:tblPr>
      <w:tblGrid>
        <w:gridCol w:w="968"/>
        <w:gridCol w:w="4604"/>
        <w:gridCol w:w="2230"/>
      </w:tblGrid>
      <w:tr w:rsidR="004819ED" w:rsidRPr="00E619C8" w14:paraId="66A78476" w14:textId="77777777" w:rsidTr="004819ED">
        <w:trPr>
          <w:trHeight w:val="405"/>
          <w:tblHeader/>
          <w:jc w:val="center"/>
        </w:trPr>
        <w:tc>
          <w:tcPr>
            <w:tcW w:w="968"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55D845B1" w14:textId="77777777" w:rsidR="00BF461D" w:rsidRPr="00E619C8" w:rsidRDefault="00BF461D">
            <w:pPr>
              <w:jc w:val="center"/>
              <w:rPr>
                <w:rFonts w:ascii="Arial" w:hAnsi="Arial" w:cs="Arial"/>
                <w:b/>
                <w:bCs/>
                <w:color w:val="FFFFFF"/>
                <w:sz w:val="22"/>
                <w:szCs w:val="22"/>
              </w:rPr>
            </w:pPr>
            <w:r w:rsidRPr="00E619C8">
              <w:rPr>
                <w:rFonts w:ascii="Arial" w:hAnsi="Arial" w:cs="Arial"/>
                <w:b/>
                <w:bCs/>
                <w:color w:val="FFFFFF"/>
                <w:sz w:val="22"/>
                <w:szCs w:val="22"/>
              </w:rPr>
              <w:t>Rank</w:t>
            </w:r>
          </w:p>
        </w:tc>
        <w:tc>
          <w:tcPr>
            <w:tcW w:w="4604" w:type="dxa"/>
            <w:tcBorders>
              <w:top w:val="single" w:sz="4" w:space="0" w:color="auto"/>
              <w:left w:val="nil"/>
              <w:bottom w:val="single" w:sz="4" w:space="0" w:color="auto"/>
              <w:right w:val="single" w:sz="4" w:space="0" w:color="auto"/>
            </w:tcBorders>
            <w:shd w:val="clear" w:color="auto" w:fill="C00000"/>
            <w:vAlign w:val="center"/>
            <w:hideMark/>
          </w:tcPr>
          <w:p w14:paraId="64F689CB" w14:textId="77777777" w:rsidR="00BF461D" w:rsidRPr="00E619C8" w:rsidRDefault="00BF461D">
            <w:pPr>
              <w:jc w:val="center"/>
              <w:rPr>
                <w:rFonts w:ascii="Arial" w:hAnsi="Arial" w:cs="Arial"/>
                <w:b/>
                <w:bCs/>
                <w:color w:val="FFFFFF"/>
                <w:sz w:val="22"/>
                <w:szCs w:val="22"/>
              </w:rPr>
            </w:pPr>
            <w:r w:rsidRPr="00E619C8">
              <w:rPr>
                <w:rFonts w:ascii="Arial" w:hAnsi="Arial" w:cs="Arial"/>
                <w:b/>
                <w:bCs/>
                <w:color w:val="FFFFFF"/>
                <w:sz w:val="22"/>
                <w:szCs w:val="22"/>
              </w:rPr>
              <w:t>Procuring Entity</w:t>
            </w:r>
          </w:p>
        </w:tc>
        <w:tc>
          <w:tcPr>
            <w:tcW w:w="2230" w:type="dxa"/>
            <w:tcBorders>
              <w:top w:val="single" w:sz="4" w:space="0" w:color="auto"/>
              <w:left w:val="nil"/>
              <w:bottom w:val="single" w:sz="4" w:space="0" w:color="auto"/>
              <w:right w:val="single" w:sz="4" w:space="0" w:color="auto"/>
            </w:tcBorders>
            <w:shd w:val="clear" w:color="auto" w:fill="C00000"/>
            <w:vAlign w:val="center"/>
            <w:hideMark/>
          </w:tcPr>
          <w:p w14:paraId="61111034" w14:textId="77777777" w:rsidR="00BF461D" w:rsidRPr="00E619C8" w:rsidRDefault="00BF461D">
            <w:pPr>
              <w:jc w:val="center"/>
              <w:rPr>
                <w:rFonts w:ascii="Arial" w:hAnsi="Arial" w:cs="Arial"/>
                <w:b/>
                <w:bCs/>
                <w:color w:val="FFFFFF"/>
                <w:sz w:val="22"/>
                <w:szCs w:val="22"/>
              </w:rPr>
            </w:pPr>
            <w:r w:rsidRPr="00E619C8">
              <w:rPr>
                <w:rFonts w:ascii="Arial" w:hAnsi="Arial" w:cs="Arial"/>
                <w:b/>
                <w:bCs/>
                <w:color w:val="FFFFFF"/>
                <w:sz w:val="22"/>
                <w:szCs w:val="22"/>
              </w:rPr>
              <w:t>ITI Score</w:t>
            </w:r>
          </w:p>
        </w:tc>
      </w:tr>
      <w:tr w:rsidR="004819ED" w:rsidRPr="00E619C8" w14:paraId="3BD283DB" w14:textId="77777777" w:rsidTr="004819ED">
        <w:trPr>
          <w:trHeight w:val="79"/>
          <w:jc w:val="center"/>
        </w:trPr>
        <w:tc>
          <w:tcPr>
            <w:tcW w:w="968" w:type="dxa"/>
            <w:tcBorders>
              <w:top w:val="nil"/>
              <w:left w:val="single" w:sz="4" w:space="0" w:color="auto"/>
              <w:bottom w:val="single" w:sz="4" w:space="0" w:color="auto"/>
              <w:right w:val="single" w:sz="4" w:space="0" w:color="auto"/>
            </w:tcBorders>
            <w:vAlign w:val="center"/>
            <w:hideMark/>
          </w:tcPr>
          <w:p w14:paraId="4391A072"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1</w:t>
            </w:r>
          </w:p>
        </w:tc>
        <w:tc>
          <w:tcPr>
            <w:tcW w:w="4604" w:type="dxa"/>
            <w:tcBorders>
              <w:top w:val="nil"/>
              <w:left w:val="nil"/>
              <w:bottom w:val="single" w:sz="4" w:space="0" w:color="auto"/>
              <w:right w:val="single" w:sz="4" w:space="0" w:color="auto"/>
            </w:tcBorders>
            <w:vAlign w:val="center"/>
            <w:hideMark/>
          </w:tcPr>
          <w:p w14:paraId="44C51FBD" w14:textId="77777777" w:rsidR="00BF461D" w:rsidRPr="00E619C8" w:rsidRDefault="00BF461D" w:rsidP="007F3E4C">
            <w:pPr>
              <w:rPr>
                <w:rFonts w:ascii="Arial" w:hAnsi="Arial" w:cs="Arial"/>
                <w:color w:val="000000"/>
                <w:sz w:val="22"/>
                <w:szCs w:val="22"/>
              </w:rPr>
            </w:pPr>
            <w:r w:rsidRPr="00E619C8">
              <w:rPr>
                <w:rFonts w:ascii="Arial" w:hAnsi="Arial" w:cs="Arial"/>
                <w:color w:val="000000"/>
                <w:sz w:val="22"/>
                <w:szCs w:val="22"/>
              </w:rPr>
              <w:t>Dinas PU (Highway Division)</w:t>
            </w:r>
          </w:p>
        </w:tc>
        <w:tc>
          <w:tcPr>
            <w:tcW w:w="2230" w:type="dxa"/>
            <w:tcBorders>
              <w:top w:val="nil"/>
              <w:left w:val="nil"/>
              <w:bottom w:val="single" w:sz="4" w:space="0" w:color="auto"/>
              <w:right w:val="single" w:sz="4" w:space="0" w:color="auto"/>
            </w:tcBorders>
            <w:vAlign w:val="center"/>
            <w:hideMark/>
          </w:tcPr>
          <w:p w14:paraId="595F65D5"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57.02</w:t>
            </w:r>
          </w:p>
        </w:tc>
      </w:tr>
      <w:tr w:rsidR="004819ED" w:rsidRPr="00E619C8" w14:paraId="7E107792" w14:textId="77777777" w:rsidTr="004819ED">
        <w:trPr>
          <w:trHeight w:val="241"/>
          <w:jc w:val="center"/>
        </w:trPr>
        <w:tc>
          <w:tcPr>
            <w:tcW w:w="968" w:type="dxa"/>
            <w:tcBorders>
              <w:top w:val="nil"/>
              <w:left w:val="single" w:sz="4" w:space="0" w:color="auto"/>
              <w:bottom w:val="single" w:sz="4" w:space="0" w:color="auto"/>
              <w:right w:val="single" w:sz="4" w:space="0" w:color="auto"/>
            </w:tcBorders>
            <w:vAlign w:val="center"/>
            <w:hideMark/>
          </w:tcPr>
          <w:p w14:paraId="16193C7B"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2</w:t>
            </w:r>
          </w:p>
        </w:tc>
        <w:tc>
          <w:tcPr>
            <w:tcW w:w="4604" w:type="dxa"/>
            <w:tcBorders>
              <w:top w:val="nil"/>
              <w:left w:val="nil"/>
              <w:bottom w:val="single" w:sz="4" w:space="0" w:color="auto"/>
              <w:right w:val="single" w:sz="4" w:space="0" w:color="auto"/>
            </w:tcBorders>
            <w:vAlign w:val="center"/>
            <w:hideMark/>
          </w:tcPr>
          <w:p w14:paraId="6131FEF1" w14:textId="77777777" w:rsidR="00BF461D" w:rsidRPr="00E619C8" w:rsidRDefault="00BF461D" w:rsidP="007F3E4C">
            <w:pPr>
              <w:rPr>
                <w:rFonts w:ascii="Arial" w:hAnsi="Arial" w:cs="Arial"/>
                <w:color w:val="000000"/>
                <w:sz w:val="22"/>
                <w:szCs w:val="22"/>
              </w:rPr>
            </w:pPr>
            <w:r w:rsidRPr="00E619C8">
              <w:rPr>
                <w:rFonts w:ascii="Arial" w:hAnsi="Arial" w:cs="Arial"/>
                <w:color w:val="000000"/>
                <w:sz w:val="22"/>
                <w:szCs w:val="22"/>
              </w:rPr>
              <w:t>Dinas PU (Water Resources Division)</w:t>
            </w:r>
          </w:p>
        </w:tc>
        <w:tc>
          <w:tcPr>
            <w:tcW w:w="2230" w:type="dxa"/>
            <w:tcBorders>
              <w:top w:val="nil"/>
              <w:left w:val="nil"/>
              <w:bottom w:val="single" w:sz="4" w:space="0" w:color="auto"/>
              <w:right w:val="single" w:sz="4" w:space="0" w:color="auto"/>
            </w:tcBorders>
            <w:vAlign w:val="center"/>
            <w:hideMark/>
          </w:tcPr>
          <w:p w14:paraId="560E4F99"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47.85</w:t>
            </w:r>
          </w:p>
        </w:tc>
      </w:tr>
      <w:tr w:rsidR="004819ED" w:rsidRPr="00E619C8" w14:paraId="54A9BCD9" w14:textId="77777777" w:rsidTr="004819ED">
        <w:trPr>
          <w:trHeight w:val="92"/>
          <w:jc w:val="center"/>
        </w:trPr>
        <w:tc>
          <w:tcPr>
            <w:tcW w:w="968" w:type="dxa"/>
            <w:tcBorders>
              <w:top w:val="nil"/>
              <w:left w:val="single" w:sz="4" w:space="0" w:color="auto"/>
              <w:bottom w:val="single" w:sz="4" w:space="0" w:color="auto"/>
              <w:right w:val="single" w:sz="4" w:space="0" w:color="auto"/>
            </w:tcBorders>
            <w:vAlign w:val="center"/>
            <w:hideMark/>
          </w:tcPr>
          <w:p w14:paraId="58C817D2"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3</w:t>
            </w:r>
          </w:p>
        </w:tc>
        <w:tc>
          <w:tcPr>
            <w:tcW w:w="4604" w:type="dxa"/>
            <w:tcBorders>
              <w:top w:val="nil"/>
              <w:left w:val="nil"/>
              <w:bottom w:val="single" w:sz="4" w:space="0" w:color="auto"/>
              <w:right w:val="single" w:sz="4" w:space="0" w:color="auto"/>
            </w:tcBorders>
            <w:vAlign w:val="center"/>
            <w:hideMark/>
          </w:tcPr>
          <w:p w14:paraId="0F46AFD4" w14:textId="77777777" w:rsidR="00BF461D" w:rsidRPr="00E619C8" w:rsidRDefault="00BF461D" w:rsidP="007F3E4C">
            <w:pPr>
              <w:rPr>
                <w:rFonts w:ascii="Arial" w:hAnsi="Arial" w:cs="Arial"/>
                <w:color w:val="000000"/>
                <w:sz w:val="22"/>
                <w:szCs w:val="22"/>
              </w:rPr>
            </w:pPr>
            <w:r w:rsidRPr="00E619C8">
              <w:rPr>
                <w:rFonts w:ascii="Arial" w:hAnsi="Arial" w:cs="Arial"/>
                <w:color w:val="000000"/>
                <w:sz w:val="22"/>
                <w:szCs w:val="22"/>
              </w:rPr>
              <w:t>Dinas Kelautan dan Perikanan</w:t>
            </w:r>
          </w:p>
        </w:tc>
        <w:tc>
          <w:tcPr>
            <w:tcW w:w="2230" w:type="dxa"/>
            <w:tcBorders>
              <w:top w:val="nil"/>
              <w:left w:val="nil"/>
              <w:bottom w:val="single" w:sz="4" w:space="0" w:color="auto"/>
              <w:right w:val="single" w:sz="4" w:space="0" w:color="auto"/>
            </w:tcBorders>
            <w:vAlign w:val="center"/>
            <w:hideMark/>
          </w:tcPr>
          <w:p w14:paraId="25D41802"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51.42</w:t>
            </w:r>
          </w:p>
        </w:tc>
      </w:tr>
      <w:tr w:rsidR="004819ED" w:rsidRPr="00E619C8" w14:paraId="2374C608" w14:textId="77777777" w:rsidTr="004819ED">
        <w:trPr>
          <w:trHeight w:val="292"/>
          <w:jc w:val="center"/>
        </w:trPr>
        <w:tc>
          <w:tcPr>
            <w:tcW w:w="968" w:type="dxa"/>
            <w:tcBorders>
              <w:top w:val="nil"/>
              <w:left w:val="single" w:sz="4" w:space="0" w:color="auto"/>
              <w:bottom w:val="single" w:sz="4" w:space="0" w:color="auto"/>
              <w:right w:val="single" w:sz="4" w:space="0" w:color="auto"/>
            </w:tcBorders>
            <w:vAlign w:val="center"/>
            <w:hideMark/>
          </w:tcPr>
          <w:p w14:paraId="0EBEAC8C"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4</w:t>
            </w:r>
          </w:p>
        </w:tc>
        <w:tc>
          <w:tcPr>
            <w:tcW w:w="4604" w:type="dxa"/>
            <w:tcBorders>
              <w:top w:val="nil"/>
              <w:left w:val="nil"/>
              <w:bottom w:val="single" w:sz="4" w:space="0" w:color="auto"/>
              <w:right w:val="single" w:sz="4" w:space="0" w:color="auto"/>
            </w:tcBorders>
            <w:vAlign w:val="center"/>
            <w:hideMark/>
          </w:tcPr>
          <w:p w14:paraId="43EE36EC" w14:textId="77777777" w:rsidR="00BF461D" w:rsidRPr="00E619C8" w:rsidRDefault="00BF461D" w:rsidP="007F3E4C">
            <w:pPr>
              <w:rPr>
                <w:rFonts w:ascii="Arial" w:hAnsi="Arial" w:cs="Arial"/>
                <w:color w:val="000000"/>
                <w:sz w:val="22"/>
                <w:szCs w:val="22"/>
              </w:rPr>
            </w:pPr>
            <w:r w:rsidRPr="00E619C8">
              <w:rPr>
                <w:rFonts w:ascii="Arial" w:hAnsi="Arial" w:cs="Arial"/>
                <w:color w:val="000000"/>
                <w:sz w:val="22"/>
                <w:szCs w:val="22"/>
              </w:rPr>
              <w:t>Dinas Pertanian dan Perkebunan</w:t>
            </w:r>
          </w:p>
        </w:tc>
        <w:tc>
          <w:tcPr>
            <w:tcW w:w="2230" w:type="dxa"/>
            <w:tcBorders>
              <w:top w:val="nil"/>
              <w:left w:val="nil"/>
              <w:bottom w:val="single" w:sz="4" w:space="0" w:color="auto"/>
              <w:right w:val="single" w:sz="4" w:space="0" w:color="auto"/>
            </w:tcBorders>
            <w:vAlign w:val="center"/>
            <w:hideMark/>
          </w:tcPr>
          <w:p w14:paraId="24BDE130"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47.23</w:t>
            </w:r>
          </w:p>
        </w:tc>
      </w:tr>
      <w:tr w:rsidR="004819ED" w:rsidRPr="00E619C8" w14:paraId="1CC72498" w14:textId="77777777" w:rsidTr="004819ED">
        <w:trPr>
          <w:trHeight w:val="284"/>
          <w:jc w:val="center"/>
        </w:trPr>
        <w:tc>
          <w:tcPr>
            <w:tcW w:w="968" w:type="dxa"/>
            <w:tcBorders>
              <w:top w:val="nil"/>
              <w:left w:val="single" w:sz="4" w:space="0" w:color="auto"/>
              <w:bottom w:val="single" w:sz="4" w:space="0" w:color="auto"/>
              <w:right w:val="single" w:sz="4" w:space="0" w:color="auto"/>
            </w:tcBorders>
            <w:vAlign w:val="center"/>
            <w:hideMark/>
          </w:tcPr>
          <w:p w14:paraId="51DDE158"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5</w:t>
            </w:r>
          </w:p>
        </w:tc>
        <w:tc>
          <w:tcPr>
            <w:tcW w:w="4604" w:type="dxa"/>
            <w:tcBorders>
              <w:top w:val="nil"/>
              <w:left w:val="nil"/>
              <w:bottom w:val="single" w:sz="4" w:space="0" w:color="auto"/>
              <w:right w:val="single" w:sz="4" w:space="0" w:color="auto"/>
            </w:tcBorders>
            <w:vAlign w:val="center"/>
            <w:hideMark/>
          </w:tcPr>
          <w:p w14:paraId="481ACEE6" w14:textId="77777777" w:rsidR="00BF461D" w:rsidRPr="00E619C8" w:rsidRDefault="00BF461D" w:rsidP="007F3E4C">
            <w:pPr>
              <w:rPr>
                <w:rFonts w:ascii="Arial" w:hAnsi="Arial" w:cs="Arial"/>
                <w:color w:val="000000"/>
                <w:sz w:val="22"/>
                <w:szCs w:val="22"/>
              </w:rPr>
            </w:pPr>
            <w:r w:rsidRPr="00E619C8">
              <w:rPr>
                <w:rFonts w:ascii="Arial" w:hAnsi="Arial" w:cs="Arial"/>
                <w:color w:val="000000"/>
                <w:sz w:val="22"/>
                <w:szCs w:val="22"/>
              </w:rPr>
              <w:t>Dinas Pendidikan dan Kebudayaan</w:t>
            </w:r>
          </w:p>
        </w:tc>
        <w:tc>
          <w:tcPr>
            <w:tcW w:w="2230" w:type="dxa"/>
            <w:tcBorders>
              <w:top w:val="nil"/>
              <w:left w:val="nil"/>
              <w:bottom w:val="single" w:sz="4" w:space="0" w:color="auto"/>
              <w:right w:val="single" w:sz="4" w:space="0" w:color="auto"/>
            </w:tcBorders>
            <w:vAlign w:val="center"/>
            <w:hideMark/>
          </w:tcPr>
          <w:p w14:paraId="478036E7"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39.19</w:t>
            </w:r>
          </w:p>
        </w:tc>
      </w:tr>
      <w:tr w:rsidR="004819ED" w:rsidRPr="00E619C8" w14:paraId="2244B325" w14:textId="77777777" w:rsidTr="004819ED">
        <w:trPr>
          <w:trHeight w:val="176"/>
          <w:jc w:val="center"/>
        </w:trPr>
        <w:tc>
          <w:tcPr>
            <w:tcW w:w="968" w:type="dxa"/>
            <w:tcBorders>
              <w:top w:val="nil"/>
              <w:left w:val="single" w:sz="4" w:space="0" w:color="auto"/>
              <w:bottom w:val="single" w:sz="4" w:space="0" w:color="auto"/>
              <w:right w:val="single" w:sz="4" w:space="0" w:color="auto"/>
            </w:tcBorders>
            <w:vAlign w:val="center"/>
            <w:hideMark/>
          </w:tcPr>
          <w:p w14:paraId="1ED3AB8B"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6</w:t>
            </w:r>
          </w:p>
        </w:tc>
        <w:tc>
          <w:tcPr>
            <w:tcW w:w="4604" w:type="dxa"/>
            <w:tcBorders>
              <w:top w:val="nil"/>
              <w:left w:val="nil"/>
              <w:bottom w:val="single" w:sz="4" w:space="0" w:color="auto"/>
              <w:right w:val="single" w:sz="4" w:space="0" w:color="auto"/>
            </w:tcBorders>
            <w:vAlign w:val="center"/>
            <w:hideMark/>
          </w:tcPr>
          <w:p w14:paraId="3968C28C" w14:textId="77777777" w:rsidR="00BF461D" w:rsidRPr="00E619C8" w:rsidRDefault="00BF461D" w:rsidP="007F3E4C">
            <w:pPr>
              <w:rPr>
                <w:rFonts w:ascii="Arial" w:hAnsi="Arial" w:cs="Arial"/>
                <w:color w:val="000000"/>
                <w:sz w:val="22"/>
                <w:szCs w:val="22"/>
              </w:rPr>
            </w:pPr>
            <w:r w:rsidRPr="00E619C8">
              <w:rPr>
                <w:rFonts w:ascii="Arial" w:hAnsi="Arial" w:cs="Arial"/>
                <w:color w:val="000000"/>
                <w:sz w:val="22"/>
                <w:szCs w:val="22"/>
              </w:rPr>
              <w:t>Dinas Lingkungan Hidup dan Kehutanan</w:t>
            </w:r>
          </w:p>
        </w:tc>
        <w:tc>
          <w:tcPr>
            <w:tcW w:w="2230" w:type="dxa"/>
            <w:tcBorders>
              <w:top w:val="nil"/>
              <w:left w:val="nil"/>
              <w:bottom w:val="single" w:sz="4" w:space="0" w:color="auto"/>
              <w:right w:val="single" w:sz="4" w:space="0" w:color="auto"/>
            </w:tcBorders>
            <w:vAlign w:val="center"/>
            <w:hideMark/>
          </w:tcPr>
          <w:p w14:paraId="02FC408A"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39.73</w:t>
            </w:r>
          </w:p>
        </w:tc>
      </w:tr>
      <w:tr w:rsidR="004819ED" w:rsidRPr="00E619C8" w14:paraId="2657DBD6" w14:textId="77777777" w:rsidTr="004819ED">
        <w:trPr>
          <w:trHeight w:val="79"/>
          <w:jc w:val="center"/>
        </w:trPr>
        <w:tc>
          <w:tcPr>
            <w:tcW w:w="968" w:type="dxa"/>
            <w:tcBorders>
              <w:top w:val="nil"/>
              <w:left w:val="single" w:sz="4" w:space="0" w:color="auto"/>
              <w:bottom w:val="single" w:sz="4" w:space="0" w:color="auto"/>
              <w:right w:val="single" w:sz="4" w:space="0" w:color="auto"/>
            </w:tcBorders>
            <w:vAlign w:val="center"/>
            <w:hideMark/>
          </w:tcPr>
          <w:p w14:paraId="40995116"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7</w:t>
            </w:r>
          </w:p>
        </w:tc>
        <w:tc>
          <w:tcPr>
            <w:tcW w:w="4604" w:type="dxa"/>
            <w:tcBorders>
              <w:top w:val="nil"/>
              <w:left w:val="nil"/>
              <w:bottom w:val="single" w:sz="4" w:space="0" w:color="auto"/>
              <w:right w:val="single" w:sz="4" w:space="0" w:color="auto"/>
            </w:tcBorders>
            <w:vAlign w:val="center"/>
            <w:hideMark/>
          </w:tcPr>
          <w:p w14:paraId="54C87DC7" w14:textId="77777777" w:rsidR="00BF461D" w:rsidRPr="00E619C8" w:rsidRDefault="00BF461D" w:rsidP="007F3E4C">
            <w:pPr>
              <w:rPr>
                <w:rFonts w:ascii="Arial" w:hAnsi="Arial" w:cs="Arial"/>
                <w:color w:val="000000"/>
                <w:sz w:val="22"/>
                <w:szCs w:val="22"/>
              </w:rPr>
            </w:pPr>
            <w:r w:rsidRPr="00E619C8">
              <w:rPr>
                <w:rFonts w:ascii="Arial" w:hAnsi="Arial" w:cs="Arial"/>
                <w:color w:val="000000"/>
                <w:sz w:val="22"/>
                <w:szCs w:val="22"/>
              </w:rPr>
              <w:t>Dinas Perindustrian</w:t>
            </w:r>
          </w:p>
        </w:tc>
        <w:tc>
          <w:tcPr>
            <w:tcW w:w="2230" w:type="dxa"/>
            <w:tcBorders>
              <w:top w:val="nil"/>
              <w:left w:val="nil"/>
              <w:bottom w:val="single" w:sz="4" w:space="0" w:color="auto"/>
              <w:right w:val="single" w:sz="4" w:space="0" w:color="auto"/>
            </w:tcBorders>
            <w:vAlign w:val="center"/>
            <w:hideMark/>
          </w:tcPr>
          <w:p w14:paraId="2A8E0B65"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33.58</w:t>
            </w:r>
          </w:p>
        </w:tc>
      </w:tr>
      <w:tr w:rsidR="004819ED" w:rsidRPr="00E619C8" w14:paraId="559883A5" w14:textId="77777777" w:rsidTr="004819ED">
        <w:trPr>
          <w:trHeight w:val="219"/>
          <w:jc w:val="center"/>
        </w:trPr>
        <w:tc>
          <w:tcPr>
            <w:tcW w:w="968" w:type="dxa"/>
            <w:tcBorders>
              <w:top w:val="nil"/>
              <w:left w:val="single" w:sz="4" w:space="0" w:color="auto"/>
              <w:bottom w:val="single" w:sz="4" w:space="0" w:color="auto"/>
              <w:right w:val="single" w:sz="4" w:space="0" w:color="auto"/>
            </w:tcBorders>
            <w:vAlign w:val="center"/>
            <w:hideMark/>
          </w:tcPr>
          <w:p w14:paraId="139978C9"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8</w:t>
            </w:r>
          </w:p>
        </w:tc>
        <w:tc>
          <w:tcPr>
            <w:tcW w:w="4604" w:type="dxa"/>
            <w:tcBorders>
              <w:top w:val="nil"/>
              <w:left w:val="nil"/>
              <w:bottom w:val="single" w:sz="4" w:space="0" w:color="auto"/>
              <w:right w:val="single" w:sz="4" w:space="0" w:color="auto"/>
            </w:tcBorders>
            <w:vAlign w:val="center"/>
            <w:hideMark/>
          </w:tcPr>
          <w:p w14:paraId="01BB7AE9" w14:textId="77777777" w:rsidR="00BF461D" w:rsidRPr="00E619C8" w:rsidRDefault="00BF461D" w:rsidP="007F3E4C">
            <w:pPr>
              <w:rPr>
                <w:rFonts w:ascii="Arial" w:hAnsi="Arial" w:cs="Arial"/>
                <w:color w:val="000000"/>
                <w:sz w:val="22"/>
                <w:szCs w:val="22"/>
              </w:rPr>
            </w:pPr>
            <w:r w:rsidRPr="00E619C8">
              <w:rPr>
                <w:rFonts w:ascii="Arial" w:hAnsi="Arial" w:cs="Arial"/>
                <w:color w:val="000000"/>
                <w:sz w:val="22"/>
                <w:szCs w:val="22"/>
              </w:rPr>
              <w:t>Dinas Koperasi dan UKM</w:t>
            </w:r>
          </w:p>
        </w:tc>
        <w:tc>
          <w:tcPr>
            <w:tcW w:w="2230" w:type="dxa"/>
            <w:tcBorders>
              <w:top w:val="nil"/>
              <w:left w:val="nil"/>
              <w:bottom w:val="single" w:sz="4" w:space="0" w:color="auto"/>
              <w:right w:val="single" w:sz="4" w:space="0" w:color="auto"/>
            </w:tcBorders>
            <w:vAlign w:val="center"/>
            <w:hideMark/>
          </w:tcPr>
          <w:p w14:paraId="1066DF7D"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32.67</w:t>
            </w:r>
          </w:p>
        </w:tc>
      </w:tr>
      <w:tr w:rsidR="004819ED" w:rsidRPr="00E619C8" w14:paraId="64E72EB9" w14:textId="77777777" w:rsidTr="004819ED">
        <w:trPr>
          <w:trHeight w:val="200"/>
          <w:jc w:val="center"/>
        </w:trPr>
        <w:tc>
          <w:tcPr>
            <w:tcW w:w="968" w:type="dxa"/>
            <w:tcBorders>
              <w:top w:val="nil"/>
              <w:left w:val="single" w:sz="4" w:space="0" w:color="auto"/>
              <w:bottom w:val="single" w:sz="4" w:space="0" w:color="auto"/>
              <w:right w:val="single" w:sz="4" w:space="0" w:color="auto"/>
            </w:tcBorders>
            <w:vAlign w:val="center"/>
            <w:hideMark/>
          </w:tcPr>
          <w:p w14:paraId="56FF3B7D"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9</w:t>
            </w:r>
          </w:p>
        </w:tc>
        <w:tc>
          <w:tcPr>
            <w:tcW w:w="4604" w:type="dxa"/>
            <w:tcBorders>
              <w:top w:val="nil"/>
              <w:left w:val="nil"/>
              <w:bottom w:val="single" w:sz="4" w:space="0" w:color="auto"/>
              <w:right w:val="single" w:sz="4" w:space="0" w:color="auto"/>
            </w:tcBorders>
            <w:vAlign w:val="center"/>
            <w:hideMark/>
          </w:tcPr>
          <w:p w14:paraId="189A0F7E" w14:textId="77777777" w:rsidR="00BF461D" w:rsidRPr="00E619C8" w:rsidRDefault="00BF461D" w:rsidP="007F3E4C">
            <w:pPr>
              <w:rPr>
                <w:rFonts w:ascii="Arial" w:hAnsi="Arial" w:cs="Arial"/>
                <w:color w:val="000000"/>
                <w:sz w:val="22"/>
                <w:szCs w:val="22"/>
              </w:rPr>
            </w:pPr>
            <w:r w:rsidRPr="00E619C8">
              <w:rPr>
                <w:rFonts w:ascii="Arial" w:hAnsi="Arial" w:cs="Arial"/>
                <w:color w:val="000000"/>
                <w:sz w:val="22"/>
                <w:szCs w:val="22"/>
              </w:rPr>
              <w:t>Dinas Pemuda dan Olahraga</w:t>
            </w:r>
          </w:p>
        </w:tc>
        <w:tc>
          <w:tcPr>
            <w:tcW w:w="2230" w:type="dxa"/>
            <w:tcBorders>
              <w:top w:val="nil"/>
              <w:left w:val="nil"/>
              <w:bottom w:val="single" w:sz="4" w:space="0" w:color="auto"/>
              <w:right w:val="single" w:sz="4" w:space="0" w:color="auto"/>
            </w:tcBorders>
            <w:vAlign w:val="center"/>
            <w:hideMark/>
          </w:tcPr>
          <w:p w14:paraId="69510985"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32.93</w:t>
            </w:r>
          </w:p>
        </w:tc>
      </w:tr>
      <w:tr w:rsidR="004819ED" w:rsidRPr="00E619C8" w14:paraId="09BA09AB" w14:textId="77777777" w:rsidTr="004819ED">
        <w:trPr>
          <w:trHeight w:val="79"/>
          <w:jc w:val="center"/>
        </w:trPr>
        <w:tc>
          <w:tcPr>
            <w:tcW w:w="968" w:type="dxa"/>
            <w:tcBorders>
              <w:top w:val="nil"/>
              <w:left w:val="single" w:sz="4" w:space="0" w:color="auto"/>
              <w:bottom w:val="single" w:sz="4" w:space="0" w:color="auto"/>
              <w:right w:val="single" w:sz="4" w:space="0" w:color="auto"/>
            </w:tcBorders>
            <w:vAlign w:val="center"/>
            <w:hideMark/>
          </w:tcPr>
          <w:p w14:paraId="13F84F45"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10</w:t>
            </w:r>
          </w:p>
        </w:tc>
        <w:tc>
          <w:tcPr>
            <w:tcW w:w="4604" w:type="dxa"/>
            <w:tcBorders>
              <w:top w:val="nil"/>
              <w:left w:val="nil"/>
              <w:bottom w:val="single" w:sz="4" w:space="0" w:color="auto"/>
              <w:right w:val="single" w:sz="4" w:space="0" w:color="auto"/>
            </w:tcBorders>
            <w:vAlign w:val="center"/>
            <w:hideMark/>
          </w:tcPr>
          <w:p w14:paraId="3805B84C" w14:textId="77777777" w:rsidR="00BF461D" w:rsidRPr="00E619C8" w:rsidRDefault="00BF461D" w:rsidP="007F3E4C">
            <w:pPr>
              <w:rPr>
                <w:rFonts w:ascii="Arial" w:hAnsi="Arial" w:cs="Arial"/>
                <w:color w:val="000000"/>
                <w:sz w:val="22"/>
                <w:szCs w:val="22"/>
              </w:rPr>
            </w:pPr>
            <w:r w:rsidRPr="00E619C8">
              <w:rPr>
                <w:rFonts w:ascii="Arial" w:hAnsi="Arial" w:cs="Arial"/>
                <w:color w:val="000000"/>
                <w:sz w:val="22"/>
                <w:szCs w:val="22"/>
              </w:rPr>
              <w:t>Dinas Pariwisata</w:t>
            </w:r>
          </w:p>
        </w:tc>
        <w:tc>
          <w:tcPr>
            <w:tcW w:w="2230" w:type="dxa"/>
            <w:tcBorders>
              <w:top w:val="nil"/>
              <w:left w:val="nil"/>
              <w:bottom w:val="single" w:sz="4" w:space="0" w:color="auto"/>
              <w:right w:val="single" w:sz="4" w:space="0" w:color="auto"/>
            </w:tcBorders>
            <w:vAlign w:val="center"/>
            <w:hideMark/>
          </w:tcPr>
          <w:p w14:paraId="4E7C1838"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30.71</w:t>
            </w:r>
          </w:p>
        </w:tc>
      </w:tr>
      <w:tr w:rsidR="004819ED" w:rsidRPr="00E619C8" w14:paraId="63EDF002" w14:textId="77777777" w:rsidTr="004819ED">
        <w:trPr>
          <w:trHeight w:val="79"/>
          <w:jc w:val="center"/>
        </w:trPr>
        <w:tc>
          <w:tcPr>
            <w:tcW w:w="968" w:type="dxa"/>
            <w:tcBorders>
              <w:top w:val="nil"/>
              <w:left w:val="single" w:sz="4" w:space="0" w:color="auto"/>
              <w:bottom w:val="single" w:sz="4" w:space="0" w:color="auto"/>
              <w:right w:val="single" w:sz="4" w:space="0" w:color="auto"/>
            </w:tcBorders>
            <w:vAlign w:val="center"/>
            <w:hideMark/>
          </w:tcPr>
          <w:p w14:paraId="4111991F"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11</w:t>
            </w:r>
          </w:p>
        </w:tc>
        <w:tc>
          <w:tcPr>
            <w:tcW w:w="4604" w:type="dxa"/>
            <w:tcBorders>
              <w:top w:val="nil"/>
              <w:left w:val="nil"/>
              <w:bottom w:val="single" w:sz="4" w:space="0" w:color="auto"/>
              <w:right w:val="single" w:sz="4" w:space="0" w:color="auto"/>
            </w:tcBorders>
            <w:vAlign w:val="center"/>
            <w:hideMark/>
          </w:tcPr>
          <w:p w14:paraId="5B2C1659" w14:textId="77777777" w:rsidR="00BF461D" w:rsidRPr="00E619C8" w:rsidRDefault="00BF461D" w:rsidP="007F3E4C">
            <w:pPr>
              <w:rPr>
                <w:rFonts w:ascii="Arial" w:hAnsi="Arial" w:cs="Arial"/>
                <w:color w:val="000000"/>
                <w:sz w:val="22"/>
                <w:szCs w:val="22"/>
              </w:rPr>
            </w:pPr>
            <w:r w:rsidRPr="00E619C8">
              <w:rPr>
                <w:rFonts w:ascii="Arial" w:hAnsi="Arial" w:cs="Arial"/>
                <w:color w:val="000000"/>
                <w:sz w:val="22"/>
                <w:szCs w:val="22"/>
              </w:rPr>
              <w:t>Dinas Perumahan dan Permukiman</w:t>
            </w:r>
          </w:p>
        </w:tc>
        <w:tc>
          <w:tcPr>
            <w:tcW w:w="2230" w:type="dxa"/>
            <w:tcBorders>
              <w:top w:val="nil"/>
              <w:left w:val="nil"/>
              <w:bottom w:val="single" w:sz="4" w:space="0" w:color="auto"/>
              <w:right w:val="single" w:sz="4" w:space="0" w:color="auto"/>
            </w:tcBorders>
            <w:vAlign w:val="center"/>
            <w:hideMark/>
          </w:tcPr>
          <w:p w14:paraId="4562373D"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24.8</w:t>
            </w:r>
          </w:p>
        </w:tc>
      </w:tr>
      <w:tr w:rsidR="004819ED" w:rsidRPr="00E619C8" w14:paraId="7966A36A" w14:textId="77777777" w:rsidTr="004819ED">
        <w:trPr>
          <w:trHeight w:val="79"/>
          <w:jc w:val="center"/>
        </w:trPr>
        <w:tc>
          <w:tcPr>
            <w:tcW w:w="968" w:type="dxa"/>
            <w:tcBorders>
              <w:top w:val="nil"/>
              <w:left w:val="single" w:sz="4" w:space="0" w:color="auto"/>
              <w:bottom w:val="single" w:sz="4" w:space="0" w:color="auto"/>
              <w:right w:val="single" w:sz="4" w:space="0" w:color="auto"/>
            </w:tcBorders>
            <w:vAlign w:val="center"/>
            <w:hideMark/>
          </w:tcPr>
          <w:p w14:paraId="3A1D5631"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12</w:t>
            </w:r>
          </w:p>
        </w:tc>
        <w:tc>
          <w:tcPr>
            <w:tcW w:w="4604" w:type="dxa"/>
            <w:tcBorders>
              <w:top w:val="nil"/>
              <w:left w:val="nil"/>
              <w:bottom w:val="single" w:sz="4" w:space="0" w:color="auto"/>
              <w:right w:val="single" w:sz="4" w:space="0" w:color="auto"/>
            </w:tcBorders>
            <w:vAlign w:val="center"/>
            <w:hideMark/>
          </w:tcPr>
          <w:p w14:paraId="12806AFF" w14:textId="77777777" w:rsidR="00BF461D" w:rsidRPr="00E619C8" w:rsidRDefault="00BF461D" w:rsidP="007F3E4C">
            <w:pPr>
              <w:rPr>
                <w:rFonts w:ascii="Arial" w:hAnsi="Arial" w:cs="Arial"/>
                <w:color w:val="000000"/>
                <w:sz w:val="22"/>
                <w:szCs w:val="22"/>
              </w:rPr>
            </w:pPr>
            <w:r w:rsidRPr="00E619C8">
              <w:rPr>
                <w:rFonts w:ascii="Arial" w:hAnsi="Arial" w:cs="Arial"/>
                <w:color w:val="000000"/>
                <w:sz w:val="22"/>
                <w:szCs w:val="22"/>
              </w:rPr>
              <w:t>Dinas Perpustakaan dan Kearsipan</w:t>
            </w:r>
          </w:p>
        </w:tc>
        <w:tc>
          <w:tcPr>
            <w:tcW w:w="2230" w:type="dxa"/>
            <w:tcBorders>
              <w:top w:val="nil"/>
              <w:left w:val="nil"/>
              <w:bottom w:val="single" w:sz="4" w:space="0" w:color="auto"/>
              <w:right w:val="single" w:sz="4" w:space="0" w:color="auto"/>
            </w:tcBorders>
            <w:vAlign w:val="center"/>
            <w:hideMark/>
          </w:tcPr>
          <w:p w14:paraId="63958044"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21</w:t>
            </w:r>
          </w:p>
        </w:tc>
      </w:tr>
      <w:tr w:rsidR="004819ED" w:rsidRPr="00E619C8" w14:paraId="12D0596A" w14:textId="77777777" w:rsidTr="004819ED">
        <w:trPr>
          <w:trHeight w:val="79"/>
          <w:jc w:val="center"/>
        </w:trPr>
        <w:tc>
          <w:tcPr>
            <w:tcW w:w="968" w:type="dxa"/>
            <w:tcBorders>
              <w:top w:val="nil"/>
              <w:left w:val="single" w:sz="4" w:space="0" w:color="auto"/>
              <w:bottom w:val="single" w:sz="4" w:space="0" w:color="auto"/>
              <w:right w:val="single" w:sz="4" w:space="0" w:color="auto"/>
            </w:tcBorders>
            <w:vAlign w:val="center"/>
            <w:hideMark/>
          </w:tcPr>
          <w:p w14:paraId="71981D3B"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13</w:t>
            </w:r>
          </w:p>
        </w:tc>
        <w:tc>
          <w:tcPr>
            <w:tcW w:w="4604" w:type="dxa"/>
            <w:tcBorders>
              <w:top w:val="nil"/>
              <w:left w:val="nil"/>
              <w:bottom w:val="single" w:sz="4" w:space="0" w:color="auto"/>
              <w:right w:val="single" w:sz="4" w:space="0" w:color="auto"/>
            </w:tcBorders>
            <w:vAlign w:val="center"/>
            <w:hideMark/>
          </w:tcPr>
          <w:p w14:paraId="73A646DC" w14:textId="77777777" w:rsidR="00BF461D" w:rsidRPr="00E619C8" w:rsidRDefault="00BF461D" w:rsidP="007F3E4C">
            <w:pPr>
              <w:rPr>
                <w:rFonts w:ascii="Arial" w:hAnsi="Arial" w:cs="Arial"/>
                <w:color w:val="000000"/>
                <w:sz w:val="22"/>
                <w:szCs w:val="22"/>
              </w:rPr>
            </w:pPr>
            <w:r w:rsidRPr="00E619C8">
              <w:rPr>
                <w:rFonts w:ascii="Arial" w:hAnsi="Arial" w:cs="Arial"/>
                <w:color w:val="000000"/>
                <w:sz w:val="22"/>
                <w:szCs w:val="22"/>
              </w:rPr>
              <w:t>Dinas PU (General)</w:t>
            </w:r>
          </w:p>
        </w:tc>
        <w:tc>
          <w:tcPr>
            <w:tcW w:w="2230" w:type="dxa"/>
            <w:tcBorders>
              <w:top w:val="nil"/>
              <w:left w:val="nil"/>
              <w:bottom w:val="single" w:sz="4" w:space="0" w:color="auto"/>
              <w:right w:val="single" w:sz="4" w:space="0" w:color="auto"/>
            </w:tcBorders>
            <w:vAlign w:val="center"/>
            <w:hideMark/>
          </w:tcPr>
          <w:p w14:paraId="4CF94B73"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18.65</w:t>
            </w:r>
          </w:p>
        </w:tc>
      </w:tr>
    </w:tbl>
    <w:p w14:paraId="1A83B4ED" w14:textId="122A12E1" w:rsidR="002033A5" w:rsidRPr="00E619C8" w:rsidRDefault="00E113EC">
      <w:pPr>
        <w:spacing w:before="240" w:after="240" w:line="300" w:lineRule="auto"/>
        <w:jc w:val="center"/>
        <w:rPr>
          <w:rFonts w:ascii="Arial" w:eastAsia="Arial" w:hAnsi="Arial" w:cs="Arial"/>
          <w:sz w:val="20"/>
          <w:szCs w:val="20"/>
        </w:rPr>
      </w:pPr>
      <w:r w:rsidRPr="00E619C8">
        <w:rPr>
          <w:rFonts w:ascii="Arial" w:eastAsia="Arial" w:hAnsi="Arial" w:cs="Arial"/>
          <w:sz w:val="20"/>
          <w:szCs w:val="20"/>
        </w:rPr>
        <w:t xml:space="preserve">Table </w:t>
      </w:r>
      <w:r w:rsidR="00DD0F1A" w:rsidRPr="00E619C8">
        <w:rPr>
          <w:rFonts w:ascii="Arial" w:eastAsia="Arial" w:hAnsi="Arial" w:cs="Arial"/>
          <w:sz w:val="20"/>
          <w:szCs w:val="20"/>
        </w:rPr>
        <w:t>12</w:t>
      </w:r>
      <w:r w:rsidRPr="00E619C8">
        <w:rPr>
          <w:rFonts w:ascii="Arial" w:eastAsia="Arial" w:hAnsi="Arial" w:cs="Arial"/>
          <w:sz w:val="20"/>
          <w:szCs w:val="20"/>
        </w:rPr>
        <w:t>. Local Government Agencies (Dinas) ITI Score</w:t>
      </w:r>
    </w:p>
    <w:p w14:paraId="49C0B93F" w14:textId="56337038"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Significant variation is observed among local government agencies, with ITI scores ranging from 18.65 to 57.02. Infrastructure-related divisions (Highway and Water Resources) tend to perform better, possibly due to higher regulatory oversight and larger procurement volumes. In contrast, smaller technical or administrative offices </w:t>
      </w:r>
      <w:r w:rsidR="00146E0B">
        <w:rPr>
          <w:rFonts w:ascii="Arial" w:eastAsia="Arial" w:hAnsi="Arial" w:cs="Arial"/>
          <w:sz w:val="22"/>
          <w:szCs w:val="22"/>
        </w:rPr>
        <w:t>score lower</w:t>
      </w:r>
      <w:r w:rsidRPr="00E619C8">
        <w:rPr>
          <w:rFonts w:ascii="Arial" w:eastAsia="Arial" w:hAnsi="Arial" w:cs="Arial"/>
          <w:sz w:val="22"/>
          <w:szCs w:val="22"/>
        </w:rPr>
        <w:t>, indicating uneven implementation of procurement transparency standards.</w:t>
      </w:r>
    </w:p>
    <w:p w14:paraId="018F74DE" w14:textId="77777777" w:rsidR="002033A5" w:rsidRPr="00E619C8" w:rsidRDefault="00E113EC">
      <w:pPr>
        <w:spacing w:before="240" w:after="240" w:line="300" w:lineRule="auto"/>
        <w:jc w:val="both"/>
        <w:rPr>
          <w:rFonts w:ascii="Arial" w:eastAsia="Arial" w:hAnsi="Arial" w:cs="Arial"/>
          <w:b/>
          <w:bCs/>
          <w:sz w:val="22"/>
          <w:szCs w:val="22"/>
        </w:rPr>
      </w:pPr>
      <w:r w:rsidRPr="00E619C8">
        <w:rPr>
          <w:rFonts w:ascii="Arial" w:eastAsia="Arial" w:hAnsi="Arial" w:cs="Arial"/>
          <w:b/>
          <w:bCs/>
          <w:sz w:val="22"/>
          <w:szCs w:val="22"/>
        </w:rPr>
        <w:t xml:space="preserve">Public Hospitals </w:t>
      </w:r>
    </w:p>
    <w:tbl>
      <w:tblPr>
        <w:tblW w:w="7322" w:type="dxa"/>
        <w:jc w:val="center"/>
        <w:tblLook w:val="04A0" w:firstRow="1" w:lastRow="0" w:firstColumn="1" w:lastColumn="0" w:noHBand="0" w:noVBand="1"/>
      </w:tblPr>
      <w:tblGrid>
        <w:gridCol w:w="1129"/>
        <w:gridCol w:w="4826"/>
        <w:gridCol w:w="1367"/>
      </w:tblGrid>
      <w:tr w:rsidR="004819ED" w:rsidRPr="00E619C8" w14:paraId="5CAE8FC7" w14:textId="77777777" w:rsidTr="004819ED">
        <w:trPr>
          <w:trHeight w:val="336"/>
          <w:jc w:val="center"/>
        </w:trPr>
        <w:tc>
          <w:tcPr>
            <w:tcW w:w="1129"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7DC0156D" w14:textId="77777777" w:rsidR="00BF461D" w:rsidRPr="00E619C8" w:rsidRDefault="00BF461D">
            <w:pPr>
              <w:jc w:val="center"/>
              <w:rPr>
                <w:rFonts w:ascii="Arial" w:hAnsi="Arial" w:cs="Arial"/>
                <w:b/>
                <w:bCs/>
                <w:color w:val="FFFFFF"/>
                <w:sz w:val="22"/>
                <w:szCs w:val="22"/>
              </w:rPr>
            </w:pPr>
            <w:r w:rsidRPr="00E619C8">
              <w:rPr>
                <w:rFonts w:ascii="Arial" w:hAnsi="Arial" w:cs="Arial"/>
                <w:b/>
                <w:bCs/>
                <w:color w:val="FFFFFF"/>
                <w:sz w:val="22"/>
                <w:szCs w:val="22"/>
              </w:rPr>
              <w:t>Rank</w:t>
            </w:r>
          </w:p>
        </w:tc>
        <w:tc>
          <w:tcPr>
            <w:tcW w:w="4826" w:type="dxa"/>
            <w:tcBorders>
              <w:top w:val="single" w:sz="4" w:space="0" w:color="auto"/>
              <w:left w:val="nil"/>
              <w:bottom w:val="single" w:sz="4" w:space="0" w:color="auto"/>
              <w:right w:val="single" w:sz="4" w:space="0" w:color="auto"/>
            </w:tcBorders>
            <w:shd w:val="clear" w:color="auto" w:fill="C00000"/>
            <w:vAlign w:val="center"/>
            <w:hideMark/>
          </w:tcPr>
          <w:p w14:paraId="4D02EB30" w14:textId="77777777" w:rsidR="00BF461D" w:rsidRPr="00E619C8" w:rsidRDefault="00BF461D">
            <w:pPr>
              <w:jc w:val="center"/>
              <w:rPr>
                <w:rFonts w:ascii="Arial" w:hAnsi="Arial" w:cs="Arial"/>
                <w:b/>
                <w:bCs/>
                <w:color w:val="FFFFFF"/>
                <w:sz w:val="22"/>
                <w:szCs w:val="22"/>
              </w:rPr>
            </w:pPr>
            <w:r w:rsidRPr="00E619C8">
              <w:rPr>
                <w:rFonts w:ascii="Arial" w:hAnsi="Arial" w:cs="Arial"/>
                <w:b/>
                <w:bCs/>
                <w:color w:val="FFFFFF"/>
                <w:sz w:val="22"/>
                <w:szCs w:val="22"/>
              </w:rPr>
              <w:t>Procuring Entity</w:t>
            </w:r>
          </w:p>
        </w:tc>
        <w:tc>
          <w:tcPr>
            <w:tcW w:w="1367" w:type="dxa"/>
            <w:tcBorders>
              <w:top w:val="single" w:sz="4" w:space="0" w:color="auto"/>
              <w:left w:val="nil"/>
              <w:bottom w:val="single" w:sz="4" w:space="0" w:color="auto"/>
              <w:right w:val="single" w:sz="4" w:space="0" w:color="auto"/>
            </w:tcBorders>
            <w:shd w:val="clear" w:color="auto" w:fill="C00000"/>
            <w:vAlign w:val="center"/>
            <w:hideMark/>
          </w:tcPr>
          <w:p w14:paraId="04055C32" w14:textId="77777777" w:rsidR="00BF461D" w:rsidRPr="00E619C8" w:rsidRDefault="00BF461D">
            <w:pPr>
              <w:jc w:val="center"/>
              <w:rPr>
                <w:rFonts w:ascii="Arial" w:hAnsi="Arial" w:cs="Arial"/>
                <w:b/>
                <w:bCs/>
                <w:color w:val="FFFFFF"/>
                <w:sz w:val="22"/>
                <w:szCs w:val="22"/>
              </w:rPr>
            </w:pPr>
            <w:r w:rsidRPr="00E619C8">
              <w:rPr>
                <w:rFonts w:ascii="Arial" w:hAnsi="Arial" w:cs="Arial"/>
                <w:b/>
                <w:bCs/>
                <w:color w:val="FFFFFF"/>
                <w:sz w:val="22"/>
                <w:szCs w:val="22"/>
              </w:rPr>
              <w:t>ITI Score</w:t>
            </w:r>
          </w:p>
        </w:tc>
      </w:tr>
      <w:tr w:rsidR="00BF461D" w:rsidRPr="00E619C8" w14:paraId="28945A53" w14:textId="77777777" w:rsidTr="004819ED">
        <w:trPr>
          <w:trHeight w:val="67"/>
          <w:jc w:val="center"/>
        </w:trPr>
        <w:tc>
          <w:tcPr>
            <w:tcW w:w="1129" w:type="dxa"/>
            <w:tcBorders>
              <w:top w:val="nil"/>
              <w:left w:val="single" w:sz="4" w:space="0" w:color="auto"/>
              <w:bottom w:val="single" w:sz="4" w:space="0" w:color="auto"/>
              <w:right w:val="single" w:sz="4" w:space="0" w:color="auto"/>
            </w:tcBorders>
            <w:vAlign w:val="center"/>
            <w:hideMark/>
          </w:tcPr>
          <w:p w14:paraId="2FCEA62D"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1</w:t>
            </w:r>
          </w:p>
        </w:tc>
        <w:tc>
          <w:tcPr>
            <w:tcW w:w="4826" w:type="dxa"/>
            <w:tcBorders>
              <w:top w:val="nil"/>
              <w:left w:val="nil"/>
              <w:bottom w:val="single" w:sz="4" w:space="0" w:color="auto"/>
              <w:right w:val="single" w:sz="4" w:space="0" w:color="auto"/>
            </w:tcBorders>
            <w:vAlign w:val="center"/>
            <w:hideMark/>
          </w:tcPr>
          <w:p w14:paraId="25C9E0DE" w14:textId="77777777" w:rsidR="00BF461D" w:rsidRPr="00E619C8" w:rsidRDefault="00BF461D" w:rsidP="007F3E4C">
            <w:pPr>
              <w:rPr>
                <w:rFonts w:ascii="Arial" w:hAnsi="Arial" w:cs="Arial"/>
                <w:color w:val="000000"/>
                <w:sz w:val="22"/>
                <w:szCs w:val="22"/>
              </w:rPr>
            </w:pPr>
            <w:r w:rsidRPr="00E619C8">
              <w:rPr>
                <w:rFonts w:ascii="Arial" w:hAnsi="Arial" w:cs="Arial"/>
                <w:color w:val="000000"/>
                <w:sz w:val="22"/>
                <w:szCs w:val="22"/>
              </w:rPr>
              <w:t>Rumah Sakit Mandalika</w:t>
            </w:r>
          </w:p>
        </w:tc>
        <w:tc>
          <w:tcPr>
            <w:tcW w:w="1367" w:type="dxa"/>
            <w:tcBorders>
              <w:top w:val="nil"/>
              <w:left w:val="nil"/>
              <w:bottom w:val="single" w:sz="4" w:space="0" w:color="auto"/>
              <w:right w:val="single" w:sz="4" w:space="0" w:color="auto"/>
            </w:tcBorders>
            <w:vAlign w:val="center"/>
            <w:hideMark/>
          </w:tcPr>
          <w:p w14:paraId="4CC47A4B"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55.4</w:t>
            </w:r>
          </w:p>
        </w:tc>
      </w:tr>
      <w:tr w:rsidR="00BF461D" w:rsidRPr="00E619C8" w14:paraId="1BC037F8" w14:textId="77777777" w:rsidTr="004819ED">
        <w:trPr>
          <w:trHeight w:val="67"/>
          <w:jc w:val="center"/>
        </w:trPr>
        <w:tc>
          <w:tcPr>
            <w:tcW w:w="1129" w:type="dxa"/>
            <w:tcBorders>
              <w:top w:val="nil"/>
              <w:left w:val="single" w:sz="4" w:space="0" w:color="auto"/>
              <w:bottom w:val="single" w:sz="4" w:space="0" w:color="auto"/>
              <w:right w:val="single" w:sz="4" w:space="0" w:color="auto"/>
            </w:tcBorders>
            <w:vAlign w:val="center"/>
            <w:hideMark/>
          </w:tcPr>
          <w:p w14:paraId="5E59FC24"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2</w:t>
            </w:r>
          </w:p>
        </w:tc>
        <w:tc>
          <w:tcPr>
            <w:tcW w:w="4826" w:type="dxa"/>
            <w:tcBorders>
              <w:top w:val="nil"/>
              <w:left w:val="nil"/>
              <w:bottom w:val="single" w:sz="4" w:space="0" w:color="auto"/>
              <w:right w:val="single" w:sz="4" w:space="0" w:color="auto"/>
            </w:tcBorders>
            <w:vAlign w:val="center"/>
            <w:hideMark/>
          </w:tcPr>
          <w:p w14:paraId="3D2AD0B0" w14:textId="77777777" w:rsidR="00BF461D" w:rsidRPr="00E619C8" w:rsidRDefault="00BF461D" w:rsidP="007F3E4C">
            <w:pPr>
              <w:rPr>
                <w:rFonts w:ascii="Arial" w:hAnsi="Arial" w:cs="Arial"/>
                <w:color w:val="000000"/>
                <w:sz w:val="22"/>
                <w:szCs w:val="22"/>
              </w:rPr>
            </w:pPr>
            <w:r w:rsidRPr="00E619C8">
              <w:rPr>
                <w:rFonts w:ascii="Arial" w:hAnsi="Arial" w:cs="Arial"/>
                <w:color w:val="000000"/>
                <w:sz w:val="22"/>
                <w:szCs w:val="22"/>
              </w:rPr>
              <w:t>Rumah Sakit Jiwa Mutiara Sukma Provinsi</w:t>
            </w:r>
          </w:p>
        </w:tc>
        <w:tc>
          <w:tcPr>
            <w:tcW w:w="1367" w:type="dxa"/>
            <w:tcBorders>
              <w:top w:val="nil"/>
              <w:left w:val="nil"/>
              <w:bottom w:val="single" w:sz="4" w:space="0" w:color="auto"/>
              <w:right w:val="single" w:sz="4" w:space="0" w:color="auto"/>
            </w:tcBorders>
            <w:vAlign w:val="center"/>
            <w:hideMark/>
          </w:tcPr>
          <w:p w14:paraId="2E94C116"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51.79</w:t>
            </w:r>
          </w:p>
        </w:tc>
      </w:tr>
      <w:tr w:rsidR="00BF461D" w:rsidRPr="00E619C8" w14:paraId="1F349517" w14:textId="77777777" w:rsidTr="004819ED">
        <w:trPr>
          <w:trHeight w:val="67"/>
          <w:jc w:val="center"/>
        </w:trPr>
        <w:tc>
          <w:tcPr>
            <w:tcW w:w="1129" w:type="dxa"/>
            <w:tcBorders>
              <w:top w:val="nil"/>
              <w:left w:val="single" w:sz="4" w:space="0" w:color="auto"/>
              <w:bottom w:val="single" w:sz="4" w:space="0" w:color="auto"/>
              <w:right w:val="single" w:sz="4" w:space="0" w:color="auto"/>
            </w:tcBorders>
            <w:vAlign w:val="center"/>
            <w:hideMark/>
          </w:tcPr>
          <w:p w14:paraId="382FE9CE"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3</w:t>
            </w:r>
          </w:p>
        </w:tc>
        <w:tc>
          <w:tcPr>
            <w:tcW w:w="4826" w:type="dxa"/>
            <w:tcBorders>
              <w:top w:val="nil"/>
              <w:left w:val="nil"/>
              <w:bottom w:val="single" w:sz="4" w:space="0" w:color="auto"/>
              <w:right w:val="single" w:sz="4" w:space="0" w:color="auto"/>
            </w:tcBorders>
            <w:vAlign w:val="center"/>
            <w:hideMark/>
          </w:tcPr>
          <w:p w14:paraId="21294CF8" w14:textId="77777777" w:rsidR="00BF461D" w:rsidRPr="00E619C8" w:rsidRDefault="00BF461D" w:rsidP="007F3E4C">
            <w:pPr>
              <w:rPr>
                <w:rFonts w:ascii="Arial" w:hAnsi="Arial" w:cs="Arial"/>
                <w:color w:val="000000"/>
                <w:sz w:val="22"/>
                <w:szCs w:val="22"/>
              </w:rPr>
            </w:pPr>
            <w:r w:rsidRPr="00E619C8">
              <w:rPr>
                <w:rFonts w:ascii="Arial" w:hAnsi="Arial" w:cs="Arial"/>
                <w:color w:val="000000"/>
                <w:sz w:val="22"/>
                <w:szCs w:val="22"/>
              </w:rPr>
              <w:t>Rumah Sakit H. L. Manambai Abdul Kadir</w:t>
            </w:r>
          </w:p>
        </w:tc>
        <w:tc>
          <w:tcPr>
            <w:tcW w:w="1367" w:type="dxa"/>
            <w:tcBorders>
              <w:top w:val="nil"/>
              <w:left w:val="nil"/>
              <w:bottom w:val="single" w:sz="4" w:space="0" w:color="auto"/>
              <w:right w:val="single" w:sz="4" w:space="0" w:color="auto"/>
            </w:tcBorders>
            <w:vAlign w:val="center"/>
            <w:hideMark/>
          </w:tcPr>
          <w:p w14:paraId="487A845C"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24.69</w:t>
            </w:r>
          </w:p>
        </w:tc>
      </w:tr>
      <w:tr w:rsidR="00BF461D" w:rsidRPr="00E619C8" w14:paraId="54C75BB2" w14:textId="77777777" w:rsidTr="004819ED">
        <w:trPr>
          <w:trHeight w:val="67"/>
          <w:jc w:val="center"/>
        </w:trPr>
        <w:tc>
          <w:tcPr>
            <w:tcW w:w="1129" w:type="dxa"/>
            <w:tcBorders>
              <w:top w:val="nil"/>
              <w:left w:val="single" w:sz="4" w:space="0" w:color="auto"/>
              <w:bottom w:val="single" w:sz="4" w:space="0" w:color="auto"/>
              <w:right w:val="single" w:sz="4" w:space="0" w:color="auto"/>
            </w:tcBorders>
            <w:vAlign w:val="center"/>
            <w:hideMark/>
          </w:tcPr>
          <w:p w14:paraId="3F485AC3"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4</w:t>
            </w:r>
          </w:p>
        </w:tc>
        <w:tc>
          <w:tcPr>
            <w:tcW w:w="4826" w:type="dxa"/>
            <w:tcBorders>
              <w:top w:val="nil"/>
              <w:left w:val="nil"/>
              <w:bottom w:val="single" w:sz="4" w:space="0" w:color="auto"/>
              <w:right w:val="single" w:sz="4" w:space="0" w:color="auto"/>
            </w:tcBorders>
            <w:vAlign w:val="center"/>
            <w:hideMark/>
          </w:tcPr>
          <w:p w14:paraId="55CEC8A6" w14:textId="77777777" w:rsidR="00BF461D" w:rsidRPr="00E619C8" w:rsidRDefault="00BF461D" w:rsidP="007F3E4C">
            <w:pPr>
              <w:rPr>
                <w:rFonts w:ascii="Arial" w:hAnsi="Arial" w:cs="Arial"/>
                <w:color w:val="000000"/>
                <w:sz w:val="22"/>
                <w:szCs w:val="22"/>
              </w:rPr>
            </w:pPr>
            <w:r w:rsidRPr="00E619C8">
              <w:rPr>
                <w:rFonts w:ascii="Arial" w:hAnsi="Arial" w:cs="Arial"/>
                <w:color w:val="000000"/>
                <w:sz w:val="22"/>
                <w:szCs w:val="22"/>
              </w:rPr>
              <w:t>RSUD NTB</w:t>
            </w:r>
          </w:p>
        </w:tc>
        <w:tc>
          <w:tcPr>
            <w:tcW w:w="1367" w:type="dxa"/>
            <w:tcBorders>
              <w:top w:val="nil"/>
              <w:left w:val="nil"/>
              <w:bottom w:val="single" w:sz="4" w:space="0" w:color="auto"/>
              <w:right w:val="single" w:sz="4" w:space="0" w:color="auto"/>
            </w:tcBorders>
            <w:vAlign w:val="center"/>
            <w:hideMark/>
          </w:tcPr>
          <w:p w14:paraId="78F47206"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23.2</w:t>
            </w:r>
          </w:p>
        </w:tc>
      </w:tr>
    </w:tbl>
    <w:p w14:paraId="20EA18B1" w14:textId="7322F42A" w:rsidR="002033A5" w:rsidRPr="00E619C8" w:rsidRDefault="00E113EC">
      <w:pPr>
        <w:spacing w:before="240" w:after="240" w:line="300" w:lineRule="auto"/>
        <w:jc w:val="center"/>
        <w:rPr>
          <w:rFonts w:ascii="Arial" w:eastAsia="Arial" w:hAnsi="Arial" w:cs="Arial"/>
          <w:sz w:val="20"/>
          <w:szCs w:val="20"/>
        </w:rPr>
      </w:pPr>
      <w:r w:rsidRPr="00E619C8">
        <w:rPr>
          <w:rFonts w:ascii="Arial" w:eastAsia="Arial" w:hAnsi="Arial" w:cs="Arial"/>
          <w:sz w:val="20"/>
          <w:szCs w:val="20"/>
        </w:rPr>
        <w:t xml:space="preserve">Table </w:t>
      </w:r>
      <w:r w:rsidR="00DD0F1A" w:rsidRPr="00E619C8">
        <w:rPr>
          <w:rFonts w:ascii="Arial" w:eastAsia="Arial" w:hAnsi="Arial" w:cs="Arial"/>
          <w:sz w:val="20"/>
          <w:szCs w:val="20"/>
        </w:rPr>
        <w:t>13</w:t>
      </w:r>
      <w:r w:rsidRPr="00E619C8">
        <w:rPr>
          <w:rFonts w:ascii="Arial" w:eastAsia="Arial" w:hAnsi="Arial" w:cs="Arial"/>
          <w:sz w:val="20"/>
          <w:szCs w:val="20"/>
        </w:rPr>
        <w:t>. Public Hospitals ITI Score</w:t>
      </w:r>
    </w:p>
    <w:p w14:paraId="5E28E2D5" w14:textId="01AD255A" w:rsidR="004819ED"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Hospitals show a </w:t>
      </w:r>
      <w:r w:rsidR="00146E0B">
        <w:rPr>
          <w:rFonts w:ascii="Arial" w:eastAsia="Arial" w:hAnsi="Arial" w:cs="Arial"/>
          <w:sz w:val="22"/>
          <w:szCs w:val="22"/>
        </w:rPr>
        <w:t>polarised</w:t>
      </w:r>
      <w:r w:rsidRPr="00E619C8">
        <w:rPr>
          <w:rFonts w:ascii="Arial" w:eastAsia="Arial" w:hAnsi="Arial" w:cs="Arial"/>
          <w:sz w:val="22"/>
          <w:szCs w:val="22"/>
        </w:rPr>
        <w:t xml:space="preserve"> pattern. Two hospitals demonstrate strong performance (above 50), while the others score below 25. This suggests differences in procurement management capacity, </w:t>
      </w:r>
      <w:r w:rsidR="00146E0B">
        <w:rPr>
          <w:rFonts w:ascii="Arial" w:eastAsia="Arial" w:hAnsi="Arial" w:cs="Arial"/>
          <w:sz w:val="22"/>
          <w:szCs w:val="22"/>
        </w:rPr>
        <w:t>digitalisation</w:t>
      </w:r>
      <w:r w:rsidRPr="00E619C8">
        <w:rPr>
          <w:rFonts w:ascii="Arial" w:eastAsia="Arial" w:hAnsi="Arial" w:cs="Arial"/>
          <w:sz w:val="22"/>
          <w:szCs w:val="22"/>
        </w:rPr>
        <w:t>, or leadership commitment to transparency within the health sector.</w:t>
      </w:r>
    </w:p>
    <w:p w14:paraId="62E2FD3C" w14:textId="1C9113AF" w:rsidR="002033A5" w:rsidRPr="00E619C8" w:rsidRDefault="00E113EC" w:rsidP="00BF461D">
      <w:pPr>
        <w:tabs>
          <w:tab w:val="left" w:pos="3013"/>
        </w:tabs>
        <w:spacing w:before="240" w:after="240" w:line="300" w:lineRule="auto"/>
        <w:jc w:val="both"/>
        <w:rPr>
          <w:rFonts w:ascii="Arial" w:eastAsia="Arial" w:hAnsi="Arial" w:cs="Arial"/>
          <w:b/>
          <w:bCs/>
          <w:sz w:val="22"/>
          <w:szCs w:val="22"/>
        </w:rPr>
      </w:pPr>
      <w:r w:rsidRPr="00E619C8">
        <w:rPr>
          <w:rFonts w:ascii="Arial" w:eastAsia="Arial" w:hAnsi="Arial" w:cs="Arial"/>
          <w:b/>
          <w:bCs/>
          <w:sz w:val="22"/>
          <w:szCs w:val="22"/>
        </w:rPr>
        <w:t>Legislative Institutions</w:t>
      </w:r>
      <w:r w:rsidR="00BF461D" w:rsidRPr="00E619C8">
        <w:rPr>
          <w:rFonts w:ascii="Arial" w:eastAsia="Arial" w:hAnsi="Arial" w:cs="Arial"/>
          <w:b/>
          <w:bCs/>
          <w:sz w:val="22"/>
          <w:szCs w:val="22"/>
        </w:rPr>
        <w:tab/>
      </w:r>
    </w:p>
    <w:tbl>
      <w:tblPr>
        <w:tblW w:w="6891" w:type="dxa"/>
        <w:jc w:val="center"/>
        <w:tblLook w:val="04A0" w:firstRow="1" w:lastRow="0" w:firstColumn="1" w:lastColumn="0" w:noHBand="0" w:noVBand="1"/>
      </w:tblPr>
      <w:tblGrid>
        <w:gridCol w:w="1129"/>
        <w:gridCol w:w="3562"/>
        <w:gridCol w:w="2200"/>
      </w:tblGrid>
      <w:tr w:rsidR="00BF461D" w:rsidRPr="00E619C8" w14:paraId="6101FE0C" w14:textId="77777777" w:rsidTr="004819ED">
        <w:trPr>
          <w:trHeight w:val="336"/>
          <w:jc w:val="center"/>
        </w:trPr>
        <w:tc>
          <w:tcPr>
            <w:tcW w:w="1129"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1CB1819F" w14:textId="77777777" w:rsidR="00BF461D" w:rsidRPr="00E619C8" w:rsidRDefault="00BF461D">
            <w:pPr>
              <w:jc w:val="center"/>
              <w:rPr>
                <w:rFonts w:ascii="Arial" w:hAnsi="Arial" w:cs="Arial"/>
                <w:b/>
                <w:bCs/>
                <w:color w:val="FFFFFF"/>
                <w:sz w:val="22"/>
                <w:szCs w:val="22"/>
              </w:rPr>
            </w:pPr>
            <w:r w:rsidRPr="00E619C8">
              <w:rPr>
                <w:rFonts w:ascii="Arial" w:hAnsi="Arial" w:cs="Arial"/>
                <w:b/>
                <w:bCs/>
                <w:color w:val="FFFFFF"/>
                <w:sz w:val="22"/>
                <w:szCs w:val="22"/>
              </w:rPr>
              <w:t>Rank</w:t>
            </w:r>
          </w:p>
        </w:tc>
        <w:tc>
          <w:tcPr>
            <w:tcW w:w="3562" w:type="dxa"/>
            <w:tcBorders>
              <w:top w:val="single" w:sz="4" w:space="0" w:color="auto"/>
              <w:left w:val="nil"/>
              <w:bottom w:val="single" w:sz="4" w:space="0" w:color="auto"/>
              <w:right w:val="single" w:sz="4" w:space="0" w:color="auto"/>
            </w:tcBorders>
            <w:shd w:val="clear" w:color="auto" w:fill="C00000"/>
            <w:vAlign w:val="center"/>
            <w:hideMark/>
          </w:tcPr>
          <w:p w14:paraId="60C67E16" w14:textId="77777777" w:rsidR="00BF461D" w:rsidRPr="00E619C8" w:rsidRDefault="00BF461D">
            <w:pPr>
              <w:jc w:val="center"/>
              <w:rPr>
                <w:rFonts w:ascii="Arial" w:hAnsi="Arial" w:cs="Arial"/>
                <w:b/>
                <w:bCs/>
                <w:color w:val="FFFFFF"/>
                <w:sz w:val="22"/>
                <w:szCs w:val="22"/>
              </w:rPr>
            </w:pPr>
            <w:r w:rsidRPr="00E619C8">
              <w:rPr>
                <w:rFonts w:ascii="Arial" w:hAnsi="Arial" w:cs="Arial"/>
                <w:b/>
                <w:bCs/>
                <w:color w:val="FFFFFF"/>
                <w:sz w:val="22"/>
                <w:szCs w:val="22"/>
              </w:rPr>
              <w:t>Procuring Entity</w:t>
            </w:r>
          </w:p>
        </w:tc>
        <w:tc>
          <w:tcPr>
            <w:tcW w:w="2200" w:type="dxa"/>
            <w:tcBorders>
              <w:top w:val="single" w:sz="4" w:space="0" w:color="auto"/>
              <w:left w:val="nil"/>
              <w:bottom w:val="single" w:sz="4" w:space="0" w:color="auto"/>
              <w:right w:val="single" w:sz="4" w:space="0" w:color="auto"/>
            </w:tcBorders>
            <w:shd w:val="clear" w:color="auto" w:fill="C00000"/>
            <w:vAlign w:val="center"/>
            <w:hideMark/>
          </w:tcPr>
          <w:p w14:paraId="39DFFD37" w14:textId="77777777" w:rsidR="00BF461D" w:rsidRPr="00E619C8" w:rsidRDefault="00BF461D">
            <w:pPr>
              <w:jc w:val="center"/>
              <w:rPr>
                <w:rFonts w:ascii="Arial" w:hAnsi="Arial" w:cs="Arial"/>
                <w:b/>
                <w:bCs/>
                <w:color w:val="FFFFFF"/>
                <w:sz w:val="22"/>
                <w:szCs w:val="22"/>
              </w:rPr>
            </w:pPr>
            <w:r w:rsidRPr="00E619C8">
              <w:rPr>
                <w:rFonts w:ascii="Arial" w:hAnsi="Arial" w:cs="Arial"/>
                <w:b/>
                <w:bCs/>
                <w:color w:val="FFFFFF"/>
                <w:sz w:val="22"/>
                <w:szCs w:val="22"/>
              </w:rPr>
              <w:t>ITI Score</w:t>
            </w:r>
          </w:p>
        </w:tc>
      </w:tr>
      <w:tr w:rsidR="00BF461D" w:rsidRPr="00E619C8" w14:paraId="5F4C577D" w14:textId="77777777" w:rsidTr="004819ED">
        <w:trPr>
          <w:trHeight w:val="336"/>
          <w:jc w:val="center"/>
        </w:trPr>
        <w:tc>
          <w:tcPr>
            <w:tcW w:w="1129" w:type="dxa"/>
            <w:tcBorders>
              <w:top w:val="nil"/>
              <w:left w:val="single" w:sz="4" w:space="0" w:color="auto"/>
              <w:bottom w:val="single" w:sz="4" w:space="0" w:color="auto"/>
              <w:right w:val="single" w:sz="4" w:space="0" w:color="auto"/>
            </w:tcBorders>
            <w:vAlign w:val="center"/>
            <w:hideMark/>
          </w:tcPr>
          <w:p w14:paraId="247BEEBF"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1</w:t>
            </w:r>
          </w:p>
        </w:tc>
        <w:tc>
          <w:tcPr>
            <w:tcW w:w="3562" w:type="dxa"/>
            <w:tcBorders>
              <w:top w:val="nil"/>
              <w:left w:val="nil"/>
              <w:bottom w:val="single" w:sz="4" w:space="0" w:color="auto"/>
              <w:right w:val="single" w:sz="4" w:space="0" w:color="auto"/>
            </w:tcBorders>
            <w:vAlign w:val="center"/>
            <w:hideMark/>
          </w:tcPr>
          <w:p w14:paraId="4182EDCD"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Sekretariat DPRD</w:t>
            </w:r>
          </w:p>
        </w:tc>
        <w:tc>
          <w:tcPr>
            <w:tcW w:w="2200" w:type="dxa"/>
            <w:tcBorders>
              <w:top w:val="nil"/>
              <w:left w:val="nil"/>
              <w:bottom w:val="single" w:sz="4" w:space="0" w:color="auto"/>
              <w:right w:val="single" w:sz="4" w:space="0" w:color="auto"/>
            </w:tcBorders>
            <w:vAlign w:val="center"/>
            <w:hideMark/>
          </w:tcPr>
          <w:p w14:paraId="56E9B833" w14:textId="77777777" w:rsidR="00BF461D" w:rsidRPr="00E619C8" w:rsidRDefault="00BF461D">
            <w:pPr>
              <w:jc w:val="center"/>
              <w:rPr>
                <w:rFonts w:ascii="Arial" w:hAnsi="Arial" w:cs="Arial"/>
                <w:color w:val="000000"/>
                <w:sz w:val="22"/>
                <w:szCs w:val="22"/>
              </w:rPr>
            </w:pPr>
            <w:r w:rsidRPr="00E619C8">
              <w:rPr>
                <w:rFonts w:ascii="Arial" w:hAnsi="Arial" w:cs="Arial"/>
                <w:color w:val="000000"/>
                <w:sz w:val="22"/>
                <w:szCs w:val="22"/>
              </w:rPr>
              <w:t>23.78</w:t>
            </w:r>
          </w:p>
        </w:tc>
      </w:tr>
    </w:tbl>
    <w:p w14:paraId="3B126CEA" w14:textId="1EFDD277" w:rsidR="002033A5" w:rsidRPr="00E619C8" w:rsidRDefault="00E113EC">
      <w:pPr>
        <w:spacing w:before="240" w:after="240" w:line="300" w:lineRule="auto"/>
        <w:jc w:val="center"/>
        <w:rPr>
          <w:rFonts w:ascii="Arial" w:eastAsia="Arial" w:hAnsi="Arial" w:cs="Arial"/>
          <w:sz w:val="20"/>
          <w:szCs w:val="20"/>
        </w:rPr>
      </w:pPr>
      <w:r w:rsidRPr="00E619C8">
        <w:rPr>
          <w:rFonts w:ascii="Arial" w:eastAsia="Arial" w:hAnsi="Arial" w:cs="Arial"/>
          <w:sz w:val="20"/>
          <w:szCs w:val="20"/>
        </w:rPr>
        <w:t xml:space="preserve">Table </w:t>
      </w:r>
      <w:r w:rsidR="00DD0F1A" w:rsidRPr="00E619C8">
        <w:rPr>
          <w:rFonts w:ascii="Arial" w:eastAsia="Arial" w:hAnsi="Arial" w:cs="Arial"/>
          <w:sz w:val="20"/>
          <w:szCs w:val="20"/>
        </w:rPr>
        <w:t>14</w:t>
      </w:r>
      <w:r w:rsidRPr="00E619C8">
        <w:rPr>
          <w:rFonts w:ascii="Arial" w:eastAsia="Arial" w:hAnsi="Arial" w:cs="Arial"/>
          <w:sz w:val="20"/>
          <w:szCs w:val="20"/>
        </w:rPr>
        <w:t>. Legislative Institutions ITI Score</w:t>
      </w:r>
    </w:p>
    <w:p w14:paraId="18F8B3A6" w14:textId="4C33F511" w:rsidR="0054757E"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The legislative institution obtained a relatively low ITI score (23.78), indicating potential gaps in procurement transparency and accountability mechanisms. This may reflect lower procurement intensity or weaker </w:t>
      </w:r>
      <w:r w:rsidR="00146E0B">
        <w:rPr>
          <w:rFonts w:ascii="Arial" w:eastAsia="Arial" w:hAnsi="Arial" w:cs="Arial"/>
          <w:sz w:val="22"/>
          <w:szCs w:val="22"/>
        </w:rPr>
        <w:t>institutionalised</w:t>
      </w:r>
      <w:r w:rsidRPr="00E619C8">
        <w:rPr>
          <w:rFonts w:ascii="Arial" w:eastAsia="Arial" w:hAnsi="Arial" w:cs="Arial"/>
          <w:sz w:val="22"/>
          <w:szCs w:val="22"/>
        </w:rPr>
        <w:t xml:space="preserve"> procurement systems.</w:t>
      </w:r>
    </w:p>
    <w:p w14:paraId="27D780C1" w14:textId="1AD5A707" w:rsidR="002033A5" w:rsidRPr="00E619C8" w:rsidRDefault="004819ED">
      <w:pPr>
        <w:spacing w:before="240" w:after="240" w:line="300" w:lineRule="auto"/>
        <w:jc w:val="both"/>
        <w:rPr>
          <w:rFonts w:ascii="Arial" w:eastAsia="Arial" w:hAnsi="Arial" w:cs="Arial"/>
          <w:b/>
          <w:bCs/>
          <w:sz w:val="22"/>
          <w:szCs w:val="22"/>
        </w:rPr>
      </w:pPr>
      <w:r w:rsidRPr="00E619C8">
        <w:rPr>
          <w:rFonts w:ascii="Arial" w:eastAsia="Arial" w:hAnsi="Arial" w:cs="Arial"/>
          <w:b/>
          <w:bCs/>
          <w:sz w:val="22"/>
          <w:szCs w:val="22"/>
        </w:rPr>
        <w:t>The top positions for each ITI dimension</w:t>
      </w:r>
    </w:p>
    <w:p w14:paraId="11734116" w14:textId="746A0098"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The three sub-rankings highlight that leadership varies significantly across dimensions, meaning that a PE can perform very strongly in one topic while lagging behind in another. This confirms that ITI performance is </w:t>
      </w:r>
      <w:r w:rsidR="007F3E4C" w:rsidRPr="00E619C8">
        <w:rPr>
          <w:rFonts w:ascii="Arial" w:eastAsia="Arial" w:hAnsi="Arial" w:cs="Arial"/>
          <w:sz w:val="22"/>
          <w:szCs w:val="22"/>
        </w:rPr>
        <w:t>multidimensional,</w:t>
      </w:r>
      <w:r w:rsidRPr="00E619C8">
        <w:rPr>
          <w:rFonts w:ascii="Arial" w:eastAsia="Arial" w:hAnsi="Arial" w:cs="Arial"/>
          <w:sz w:val="22"/>
          <w:szCs w:val="22"/>
        </w:rPr>
        <w:t xml:space="preserve"> and improvements require targeted actions rather than a one-size-fits-all approach.</w:t>
      </w:r>
    </w:p>
    <w:tbl>
      <w:tblPr>
        <w:tblW w:w="7925" w:type="dxa"/>
        <w:jc w:val="center"/>
        <w:tblLook w:val="04A0" w:firstRow="1" w:lastRow="0" w:firstColumn="1" w:lastColumn="0" w:noHBand="0" w:noVBand="1"/>
      </w:tblPr>
      <w:tblGrid>
        <w:gridCol w:w="1255"/>
        <w:gridCol w:w="4690"/>
        <w:gridCol w:w="1980"/>
      </w:tblGrid>
      <w:tr w:rsidR="008A442D" w:rsidRPr="00E619C8" w14:paraId="387FDCFA" w14:textId="77777777" w:rsidTr="007F3E4C">
        <w:trPr>
          <w:trHeight w:val="888"/>
          <w:jc w:val="center"/>
        </w:trPr>
        <w:tc>
          <w:tcPr>
            <w:tcW w:w="1255"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0EE134A5" w14:textId="77777777" w:rsidR="008A442D" w:rsidRPr="00E619C8" w:rsidRDefault="008A442D" w:rsidP="007F3E4C">
            <w:pPr>
              <w:jc w:val="center"/>
              <w:rPr>
                <w:rFonts w:ascii="Arial" w:hAnsi="Arial" w:cs="Arial"/>
                <w:b/>
                <w:bCs/>
                <w:color w:val="FFFFFF"/>
                <w:sz w:val="22"/>
                <w:szCs w:val="22"/>
              </w:rPr>
            </w:pPr>
            <w:r w:rsidRPr="00E619C8">
              <w:rPr>
                <w:rFonts w:ascii="Arial" w:hAnsi="Arial" w:cs="Arial"/>
                <w:b/>
                <w:bCs/>
                <w:color w:val="FFFFFF"/>
                <w:sz w:val="22"/>
                <w:szCs w:val="22"/>
              </w:rPr>
              <w:t>Rank</w:t>
            </w:r>
          </w:p>
        </w:tc>
        <w:tc>
          <w:tcPr>
            <w:tcW w:w="4690" w:type="dxa"/>
            <w:tcBorders>
              <w:top w:val="single" w:sz="4" w:space="0" w:color="auto"/>
              <w:left w:val="nil"/>
              <w:bottom w:val="single" w:sz="4" w:space="0" w:color="auto"/>
              <w:right w:val="single" w:sz="4" w:space="0" w:color="auto"/>
            </w:tcBorders>
            <w:shd w:val="clear" w:color="auto" w:fill="C00000"/>
            <w:vAlign w:val="center"/>
            <w:hideMark/>
          </w:tcPr>
          <w:p w14:paraId="70AD4BDF" w14:textId="77777777" w:rsidR="008A442D" w:rsidRPr="00E619C8" w:rsidRDefault="008A442D" w:rsidP="007F3E4C">
            <w:pPr>
              <w:jc w:val="center"/>
              <w:rPr>
                <w:rFonts w:ascii="Arial" w:hAnsi="Arial" w:cs="Arial"/>
                <w:b/>
                <w:bCs/>
                <w:color w:val="FFFFFF"/>
                <w:sz w:val="22"/>
                <w:szCs w:val="22"/>
              </w:rPr>
            </w:pPr>
            <w:r w:rsidRPr="00E619C8">
              <w:rPr>
                <w:rFonts w:ascii="Arial" w:hAnsi="Arial" w:cs="Arial"/>
                <w:b/>
                <w:bCs/>
                <w:color w:val="FFFFFF"/>
                <w:sz w:val="22"/>
                <w:szCs w:val="22"/>
              </w:rPr>
              <w:t>Procuring Entity</w:t>
            </w:r>
          </w:p>
        </w:tc>
        <w:tc>
          <w:tcPr>
            <w:tcW w:w="1980" w:type="dxa"/>
            <w:tcBorders>
              <w:top w:val="single" w:sz="4" w:space="0" w:color="auto"/>
              <w:left w:val="nil"/>
              <w:bottom w:val="single" w:sz="4" w:space="0" w:color="auto"/>
              <w:right w:val="single" w:sz="4" w:space="0" w:color="auto"/>
            </w:tcBorders>
            <w:shd w:val="clear" w:color="auto" w:fill="C00000"/>
            <w:vAlign w:val="center"/>
            <w:hideMark/>
          </w:tcPr>
          <w:p w14:paraId="4344911D" w14:textId="77777777" w:rsidR="008A442D" w:rsidRPr="00E619C8" w:rsidRDefault="008A442D" w:rsidP="007F3E4C">
            <w:pPr>
              <w:jc w:val="center"/>
              <w:rPr>
                <w:rFonts w:ascii="Arial" w:hAnsi="Arial" w:cs="Arial"/>
                <w:b/>
                <w:bCs/>
                <w:color w:val="FFFFFF"/>
                <w:sz w:val="22"/>
                <w:szCs w:val="22"/>
              </w:rPr>
            </w:pPr>
            <w:r w:rsidRPr="00E619C8">
              <w:rPr>
                <w:rFonts w:ascii="Arial" w:hAnsi="Arial" w:cs="Arial"/>
                <w:b/>
                <w:bCs/>
                <w:color w:val="FFFFFF"/>
                <w:sz w:val="22"/>
                <w:szCs w:val="22"/>
              </w:rPr>
              <w:t>DIMENSION 2 Capacities and processes</w:t>
            </w:r>
          </w:p>
        </w:tc>
      </w:tr>
      <w:tr w:rsidR="008A442D" w:rsidRPr="00E619C8" w14:paraId="7B7E6043" w14:textId="77777777" w:rsidTr="004819ED">
        <w:trPr>
          <w:trHeight w:val="87"/>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1C4D3BB0" w14:textId="77777777" w:rsidR="008A442D" w:rsidRPr="00E619C8" w:rsidRDefault="008A442D" w:rsidP="007F3E4C">
            <w:pPr>
              <w:spacing w:line="360" w:lineRule="auto"/>
              <w:jc w:val="center"/>
              <w:rPr>
                <w:rFonts w:ascii="Calibri" w:hAnsi="Calibri" w:cs="Calibri"/>
                <w:color w:val="000000"/>
                <w:sz w:val="22"/>
                <w:szCs w:val="22"/>
              </w:rPr>
            </w:pPr>
            <w:r w:rsidRPr="00E619C8">
              <w:rPr>
                <w:rFonts w:ascii="Calibri" w:hAnsi="Calibri" w:cs="Calibri"/>
                <w:color w:val="000000"/>
                <w:sz w:val="22"/>
                <w:szCs w:val="22"/>
              </w:rPr>
              <w:t>1</w:t>
            </w:r>
          </w:p>
        </w:tc>
        <w:tc>
          <w:tcPr>
            <w:tcW w:w="4690" w:type="dxa"/>
            <w:tcBorders>
              <w:top w:val="nil"/>
              <w:left w:val="nil"/>
              <w:bottom w:val="single" w:sz="4" w:space="0" w:color="auto"/>
              <w:right w:val="single" w:sz="4" w:space="0" w:color="auto"/>
            </w:tcBorders>
            <w:shd w:val="clear" w:color="000000" w:fill="FFFFFF"/>
            <w:vAlign w:val="center"/>
            <w:hideMark/>
          </w:tcPr>
          <w:p w14:paraId="59F792BF"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Badan Pengelolaan Pendapatan Daerah</w:t>
            </w:r>
          </w:p>
        </w:tc>
        <w:tc>
          <w:tcPr>
            <w:tcW w:w="1980" w:type="dxa"/>
            <w:tcBorders>
              <w:top w:val="nil"/>
              <w:left w:val="nil"/>
              <w:bottom w:val="single" w:sz="4" w:space="0" w:color="auto"/>
              <w:right w:val="single" w:sz="4" w:space="0" w:color="auto"/>
            </w:tcBorders>
            <w:shd w:val="clear" w:color="000000" w:fill="FFFFFF"/>
            <w:vAlign w:val="center"/>
            <w:hideMark/>
          </w:tcPr>
          <w:p w14:paraId="09C591FE"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79.54</w:t>
            </w:r>
          </w:p>
        </w:tc>
      </w:tr>
      <w:tr w:rsidR="008A442D" w:rsidRPr="00E619C8" w14:paraId="743F5A0C" w14:textId="77777777" w:rsidTr="007F3E4C">
        <w:trPr>
          <w:trHeight w:val="384"/>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3A3FE3E0" w14:textId="77777777" w:rsidR="008A442D" w:rsidRPr="00E619C8" w:rsidRDefault="008A442D" w:rsidP="007F3E4C">
            <w:pPr>
              <w:spacing w:line="360" w:lineRule="auto"/>
              <w:jc w:val="center"/>
              <w:rPr>
                <w:rFonts w:ascii="Calibri" w:hAnsi="Calibri" w:cs="Calibri"/>
                <w:color w:val="000000"/>
                <w:sz w:val="22"/>
                <w:szCs w:val="22"/>
              </w:rPr>
            </w:pPr>
            <w:r w:rsidRPr="00E619C8">
              <w:rPr>
                <w:rFonts w:ascii="Calibri" w:hAnsi="Calibri" w:cs="Calibri"/>
                <w:color w:val="000000"/>
                <w:sz w:val="22"/>
                <w:szCs w:val="22"/>
              </w:rPr>
              <w:t>2</w:t>
            </w:r>
          </w:p>
        </w:tc>
        <w:tc>
          <w:tcPr>
            <w:tcW w:w="4690" w:type="dxa"/>
            <w:tcBorders>
              <w:top w:val="nil"/>
              <w:left w:val="nil"/>
              <w:bottom w:val="single" w:sz="4" w:space="0" w:color="auto"/>
              <w:right w:val="single" w:sz="4" w:space="0" w:color="auto"/>
            </w:tcBorders>
            <w:shd w:val="clear" w:color="000000" w:fill="FFFFFF"/>
            <w:vAlign w:val="center"/>
            <w:hideMark/>
          </w:tcPr>
          <w:p w14:paraId="4015D3D4"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Rumah Sakit Mandalika</w:t>
            </w:r>
          </w:p>
        </w:tc>
        <w:tc>
          <w:tcPr>
            <w:tcW w:w="1980" w:type="dxa"/>
            <w:tcBorders>
              <w:top w:val="nil"/>
              <w:left w:val="nil"/>
              <w:bottom w:val="single" w:sz="4" w:space="0" w:color="auto"/>
              <w:right w:val="single" w:sz="4" w:space="0" w:color="auto"/>
            </w:tcBorders>
            <w:shd w:val="clear" w:color="000000" w:fill="FFFFFF"/>
            <w:vAlign w:val="center"/>
            <w:hideMark/>
          </w:tcPr>
          <w:p w14:paraId="206C427C"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77.17</w:t>
            </w:r>
          </w:p>
        </w:tc>
      </w:tr>
      <w:tr w:rsidR="008A442D" w:rsidRPr="00E619C8" w14:paraId="40C5B1F6" w14:textId="77777777" w:rsidTr="007F3E4C">
        <w:trPr>
          <w:trHeight w:val="384"/>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3D6E77BE" w14:textId="77777777" w:rsidR="008A442D" w:rsidRPr="00E619C8" w:rsidRDefault="008A442D" w:rsidP="007F3E4C">
            <w:pPr>
              <w:spacing w:line="360" w:lineRule="auto"/>
              <w:jc w:val="center"/>
              <w:rPr>
                <w:rFonts w:ascii="Calibri" w:hAnsi="Calibri" w:cs="Calibri"/>
                <w:color w:val="000000"/>
                <w:sz w:val="22"/>
                <w:szCs w:val="22"/>
              </w:rPr>
            </w:pPr>
            <w:r w:rsidRPr="00E619C8">
              <w:rPr>
                <w:rFonts w:ascii="Calibri" w:hAnsi="Calibri" w:cs="Calibri"/>
                <w:color w:val="000000"/>
                <w:sz w:val="22"/>
                <w:szCs w:val="22"/>
              </w:rPr>
              <w:t>3</w:t>
            </w:r>
          </w:p>
        </w:tc>
        <w:tc>
          <w:tcPr>
            <w:tcW w:w="4690" w:type="dxa"/>
            <w:tcBorders>
              <w:top w:val="nil"/>
              <w:left w:val="nil"/>
              <w:bottom w:val="single" w:sz="4" w:space="0" w:color="auto"/>
              <w:right w:val="single" w:sz="4" w:space="0" w:color="auto"/>
            </w:tcBorders>
            <w:shd w:val="clear" w:color="000000" w:fill="FFFFFF"/>
            <w:vAlign w:val="center"/>
            <w:hideMark/>
          </w:tcPr>
          <w:p w14:paraId="51F497C1"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Pekerjaan Umum dan Penataan Ruang (Bidang Bina Marga)</w:t>
            </w:r>
          </w:p>
        </w:tc>
        <w:tc>
          <w:tcPr>
            <w:tcW w:w="1980" w:type="dxa"/>
            <w:tcBorders>
              <w:top w:val="nil"/>
              <w:left w:val="nil"/>
              <w:bottom w:val="single" w:sz="4" w:space="0" w:color="auto"/>
              <w:right w:val="single" w:sz="4" w:space="0" w:color="auto"/>
            </w:tcBorders>
            <w:shd w:val="clear" w:color="000000" w:fill="FFFFFF"/>
            <w:vAlign w:val="center"/>
            <w:hideMark/>
          </w:tcPr>
          <w:p w14:paraId="2F6E97E3"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72.63</w:t>
            </w:r>
          </w:p>
        </w:tc>
      </w:tr>
      <w:tr w:rsidR="008A442D" w:rsidRPr="00E619C8" w14:paraId="267F6717" w14:textId="77777777" w:rsidTr="007F3E4C">
        <w:trPr>
          <w:trHeight w:val="288"/>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7B4903AE" w14:textId="77777777" w:rsidR="008A442D" w:rsidRPr="00E619C8" w:rsidRDefault="008A442D" w:rsidP="007F3E4C">
            <w:pPr>
              <w:spacing w:line="360" w:lineRule="auto"/>
              <w:jc w:val="center"/>
              <w:rPr>
                <w:rFonts w:ascii="Calibri" w:hAnsi="Calibri" w:cs="Calibri"/>
                <w:color w:val="000000"/>
                <w:sz w:val="22"/>
                <w:szCs w:val="22"/>
              </w:rPr>
            </w:pPr>
            <w:r w:rsidRPr="00E619C8">
              <w:rPr>
                <w:rFonts w:ascii="Calibri" w:hAnsi="Calibri" w:cs="Calibri"/>
                <w:color w:val="000000"/>
                <w:sz w:val="22"/>
                <w:szCs w:val="22"/>
              </w:rPr>
              <w:t>4</w:t>
            </w:r>
          </w:p>
        </w:tc>
        <w:tc>
          <w:tcPr>
            <w:tcW w:w="4690" w:type="dxa"/>
            <w:tcBorders>
              <w:top w:val="nil"/>
              <w:left w:val="nil"/>
              <w:bottom w:val="single" w:sz="4" w:space="0" w:color="auto"/>
              <w:right w:val="single" w:sz="4" w:space="0" w:color="auto"/>
            </w:tcBorders>
            <w:shd w:val="clear" w:color="000000" w:fill="FFFFFF"/>
            <w:vAlign w:val="center"/>
            <w:hideMark/>
          </w:tcPr>
          <w:p w14:paraId="3B1F17D5"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Rumah Sakit Jiwa Mutiara Sukma Provinsi</w:t>
            </w:r>
          </w:p>
        </w:tc>
        <w:tc>
          <w:tcPr>
            <w:tcW w:w="1980" w:type="dxa"/>
            <w:tcBorders>
              <w:top w:val="nil"/>
              <w:left w:val="nil"/>
              <w:bottom w:val="single" w:sz="4" w:space="0" w:color="auto"/>
              <w:right w:val="single" w:sz="4" w:space="0" w:color="auto"/>
            </w:tcBorders>
            <w:shd w:val="clear" w:color="000000" w:fill="FFFFFF"/>
            <w:vAlign w:val="center"/>
            <w:hideMark/>
          </w:tcPr>
          <w:p w14:paraId="32E21654"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71.33</w:t>
            </w:r>
          </w:p>
        </w:tc>
      </w:tr>
      <w:tr w:rsidR="008A442D" w:rsidRPr="00E619C8" w14:paraId="51B274D0" w14:textId="77777777" w:rsidTr="007F3E4C">
        <w:trPr>
          <w:trHeight w:val="384"/>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00A29747" w14:textId="77777777" w:rsidR="008A442D" w:rsidRPr="00E619C8" w:rsidRDefault="008A442D" w:rsidP="007F3E4C">
            <w:pPr>
              <w:spacing w:line="360" w:lineRule="auto"/>
              <w:jc w:val="center"/>
              <w:rPr>
                <w:rFonts w:ascii="Calibri" w:hAnsi="Calibri" w:cs="Calibri"/>
                <w:color w:val="000000"/>
                <w:sz w:val="22"/>
                <w:szCs w:val="22"/>
              </w:rPr>
            </w:pPr>
            <w:r w:rsidRPr="00E619C8">
              <w:rPr>
                <w:rFonts w:ascii="Calibri" w:hAnsi="Calibri" w:cs="Calibri"/>
                <w:color w:val="000000"/>
                <w:sz w:val="22"/>
                <w:szCs w:val="22"/>
              </w:rPr>
              <w:t>5</w:t>
            </w:r>
          </w:p>
        </w:tc>
        <w:tc>
          <w:tcPr>
            <w:tcW w:w="4690" w:type="dxa"/>
            <w:tcBorders>
              <w:top w:val="nil"/>
              <w:left w:val="nil"/>
              <w:bottom w:val="single" w:sz="4" w:space="0" w:color="auto"/>
              <w:right w:val="single" w:sz="4" w:space="0" w:color="auto"/>
            </w:tcBorders>
            <w:shd w:val="clear" w:color="000000" w:fill="FFFFFF"/>
            <w:vAlign w:val="center"/>
            <w:hideMark/>
          </w:tcPr>
          <w:p w14:paraId="789241ED"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Kelautan dan Perikanan</w:t>
            </w:r>
          </w:p>
        </w:tc>
        <w:tc>
          <w:tcPr>
            <w:tcW w:w="1980" w:type="dxa"/>
            <w:tcBorders>
              <w:top w:val="nil"/>
              <w:left w:val="nil"/>
              <w:bottom w:val="single" w:sz="4" w:space="0" w:color="auto"/>
              <w:right w:val="single" w:sz="4" w:space="0" w:color="auto"/>
            </w:tcBorders>
            <w:shd w:val="clear" w:color="000000" w:fill="FFFFFF"/>
            <w:vAlign w:val="center"/>
            <w:hideMark/>
          </w:tcPr>
          <w:p w14:paraId="1DF817B6"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71.11</w:t>
            </w:r>
          </w:p>
        </w:tc>
      </w:tr>
      <w:tr w:rsidR="008A442D" w:rsidRPr="00E619C8" w14:paraId="541E479C" w14:textId="77777777" w:rsidTr="007F3E4C">
        <w:trPr>
          <w:trHeight w:val="384"/>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46382548" w14:textId="77777777" w:rsidR="008A442D" w:rsidRPr="00E619C8" w:rsidRDefault="008A442D" w:rsidP="007F3E4C">
            <w:pPr>
              <w:spacing w:line="360" w:lineRule="auto"/>
              <w:jc w:val="center"/>
              <w:rPr>
                <w:rFonts w:ascii="Calibri" w:hAnsi="Calibri" w:cs="Calibri"/>
                <w:color w:val="000000"/>
                <w:sz w:val="22"/>
                <w:szCs w:val="22"/>
              </w:rPr>
            </w:pPr>
            <w:r w:rsidRPr="00E619C8">
              <w:rPr>
                <w:rFonts w:ascii="Calibri" w:hAnsi="Calibri" w:cs="Calibri"/>
                <w:color w:val="000000"/>
                <w:sz w:val="22"/>
                <w:szCs w:val="22"/>
              </w:rPr>
              <w:t>6</w:t>
            </w:r>
          </w:p>
        </w:tc>
        <w:tc>
          <w:tcPr>
            <w:tcW w:w="4690" w:type="dxa"/>
            <w:tcBorders>
              <w:top w:val="nil"/>
              <w:left w:val="nil"/>
              <w:bottom w:val="single" w:sz="4" w:space="0" w:color="auto"/>
              <w:right w:val="single" w:sz="4" w:space="0" w:color="auto"/>
            </w:tcBorders>
            <w:shd w:val="clear" w:color="000000" w:fill="FFFFFF"/>
            <w:vAlign w:val="center"/>
            <w:hideMark/>
          </w:tcPr>
          <w:p w14:paraId="72FB0D33"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Pekerjaan Umum dan Penataan Ruang (Bidang Sumber Daya Air)</w:t>
            </w:r>
          </w:p>
        </w:tc>
        <w:tc>
          <w:tcPr>
            <w:tcW w:w="1980" w:type="dxa"/>
            <w:tcBorders>
              <w:top w:val="nil"/>
              <w:left w:val="nil"/>
              <w:bottom w:val="single" w:sz="4" w:space="0" w:color="auto"/>
              <w:right w:val="single" w:sz="4" w:space="0" w:color="auto"/>
            </w:tcBorders>
            <w:shd w:val="clear" w:color="000000" w:fill="FFFFFF"/>
            <w:vAlign w:val="center"/>
            <w:hideMark/>
          </w:tcPr>
          <w:p w14:paraId="243659C3"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62.79</w:t>
            </w:r>
          </w:p>
        </w:tc>
      </w:tr>
      <w:tr w:rsidR="008A442D" w:rsidRPr="00E619C8" w14:paraId="10B5E3D3" w14:textId="77777777" w:rsidTr="007F3E4C">
        <w:trPr>
          <w:trHeight w:val="288"/>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28AE073C" w14:textId="77777777" w:rsidR="008A442D" w:rsidRPr="00E619C8" w:rsidRDefault="008A442D" w:rsidP="007F3E4C">
            <w:pPr>
              <w:spacing w:line="360" w:lineRule="auto"/>
              <w:jc w:val="center"/>
              <w:rPr>
                <w:rFonts w:ascii="Calibri" w:hAnsi="Calibri" w:cs="Calibri"/>
                <w:color w:val="000000"/>
                <w:sz w:val="22"/>
                <w:szCs w:val="22"/>
              </w:rPr>
            </w:pPr>
            <w:r w:rsidRPr="00E619C8">
              <w:rPr>
                <w:rFonts w:ascii="Calibri" w:hAnsi="Calibri" w:cs="Calibri"/>
                <w:color w:val="000000"/>
                <w:sz w:val="22"/>
                <w:szCs w:val="22"/>
              </w:rPr>
              <w:t>7</w:t>
            </w:r>
          </w:p>
        </w:tc>
        <w:tc>
          <w:tcPr>
            <w:tcW w:w="4690" w:type="dxa"/>
            <w:tcBorders>
              <w:top w:val="nil"/>
              <w:left w:val="nil"/>
              <w:bottom w:val="single" w:sz="4" w:space="0" w:color="auto"/>
              <w:right w:val="single" w:sz="4" w:space="0" w:color="auto"/>
            </w:tcBorders>
            <w:shd w:val="clear" w:color="000000" w:fill="FFFFFF"/>
            <w:vAlign w:val="center"/>
            <w:hideMark/>
          </w:tcPr>
          <w:p w14:paraId="3758614A"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Lingkungan Hidup dan Kehutanan</w:t>
            </w:r>
          </w:p>
        </w:tc>
        <w:tc>
          <w:tcPr>
            <w:tcW w:w="1980" w:type="dxa"/>
            <w:tcBorders>
              <w:top w:val="nil"/>
              <w:left w:val="nil"/>
              <w:bottom w:val="single" w:sz="4" w:space="0" w:color="auto"/>
              <w:right w:val="single" w:sz="4" w:space="0" w:color="auto"/>
            </w:tcBorders>
            <w:shd w:val="clear" w:color="000000" w:fill="FFFFFF"/>
            <w:vAlign w:val="center"/>
            <w:hideMark/>
          </w:tcPr>
          <w:p w14:paraId="54991B37"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59.55</w:t>
            </w:r>
          </w:p>
        </w:tc>
      </w:tr>
      <w:tr w:rsidR="008A442D" w:rsidRPr="00E619C8" w14:paraId="5ED29762" w14:textId="77777777" w:rsidTr="007F3E4C">
        <w:trPr>
          <w:trHeight w:val="288"/>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2CF1DD23" w14:textId="77777777" w:rsidR="008A442D" w:rsidRPr="00E619C8" w:rsidRDefault="008A442D" w:rsidP="007F3E4C">
            <w:pPr>
              <w:spacing w:line="360" w:lineRule="auto"/>
              <w:jc w:val="center"/>
              <w:rPr>
                <w:rFonts w:ascii="Calibri" w:hAnsi="Calibri" w:cs="Calibri"/>
                <w:color w:val="000000"/>
                <w:sz w:val="22"/>
                <w:szCs w:val="22"/>
              </w:rPr>
            </w:pPr>
            <w:r w:rsidRPr="00E619C8">
              <w:rPr>
                <w:rFonts w:ascii="Calibri" w:hAnsi="Calibri" w:cs="Calibri"/>
                <w:color w:val="000000"/>
                <w:sz w:val="22"/>
                <w:szCs w:val="22"/>
              </w:rPr>
              <w:t>8</w:t>
            </w:r>
          </w:p>
        </w:tc>
        <w:tc>
          <w:tcPr>
            <w:tcW w:w="4690" w:type="dxa"/>
            <w:tcBorders>
              <w:top w:val="nil"/>
              <w:left w:val="nil"/>
              <w:bottom w:val="single" w:sz="4" w:space="0" w:color="auto"/>
              <w:right w:val="single" w:sz="4" w:space="0" w:color="auto"/>
            </w:tcBorders>
            <w:shd w:val="clear" w:color="000000" w:fill="FFFFFF"/>
            <w:vAlign w:val="center"/>
            <w:hideMark/>
          </w:tcPr>
          <w:p w14:paraId="55BD4621"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Perindustrian</w:t>
            </w:r>
          </w:p>
        </w:tc>
        <w:tc>
          <w:tcPr>
            <w:tcW w:w="1980" w:type="dxa"/>
            <w:tcBorders>
              <w:top w:val="nil"/>
              <w:left w:val="nil"/>
              <w:bottom w:val="single" w:sz="4" w:space="0" w:color="auto"/>
              <w:right w:val="single" w:sz="4" w:space="0" w:color="auto"/>
            </w:tcBorders>
            <w:shd w:val="clear" w:color="000000" w:fill="FFFFFF"/>
            <w:vAlign w:val="center"/>
            <w:hideMark/>
          </w:tcPr>
          <w:p w14:paraId="59384597"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55.53</w:t>
            </w:r>
          </w:p>
        </w:tc>
      </w:tr>
      <w:tr w:rsidR="008A442D" w:rsidRPr="00E619C8" w14:paraId="49B03695" w14:textId="77777777" w:rsidTr="007F3E4C">
        <w:trPr>
          <w:trHeight w:val="288"/>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50066929" w14:textId="77777777" w:rsidR="008A442D" w:rsidRPr="00E619C8" w:rsidRDefault="008A442D" w:rsidP="007F3E4C">
            <w:pPr>
              <w:spacing w:line="360" w:lineRule="auto"/>
              <w:jc w:val="center"/>
              <w:rPr>
                <w:rFonts w:ascii="Calibri" w:hAnsi="Calibri" w:cs="Calibri"/>
                <w:color w:val="000000"/>
                <w:sz w:val="22"/>
                <w:szCs w:val="22"/>
              </w:rPr>
            </w:pPr>
            <w:r w:rsidRPr="00E619C8">
              <w:rPr>
                <w:rFonts w:ascii="Calibri" w:hAnsi="Calibri" w:cs="Calibri"/>
                <w:color w:val="000000"/>
                <w:sz w:val="22"/>
                <w:szCs w:val="22"/>
              </w:rPr>
              <w:t>9</w:t>
            </w:r>
          </w:p>
        </w:tc>
        <w:tc>
          <w:tcPr>
            <w:tcW w:w="4690" w:type="dxa"/>
            <w:tcBorders>
              <w:top w:val="nil"/>
              <w:left w:val="nil"/>
              <w:bottom w:val="single" w:sz="4" w:space="0" w:color="auto"/>
              <w:right w:val="single" w:sz="4" w:space="0" w:color="auto"/>
            </w:tcBorders>
            <w:shd w:val="clear" w:color="000000" w:fill="FFFFFF"/>
            <w:vAlign w:val="center"/>
            <w:hideMark/>
          </w:tcPr>
          <w:p w14:paraId="20FD2C94"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Pertanian dan Perkebunan</w:t>
            </w:r>
          </w:p>
        </w:tc>
        <w:tc>
          <w:tcPr>
            <w:tcW w:w="1980" w:type="dxa"/>
            <w:tcBorders>
              <w:top w:val="nil"/>
              <w:left w:val="nil"/>
              <w:bottom w:val="single" w:sz="4" w:space="0" w:color="auto"/>
              <w:right w:val="single" w:sz="4" w:space="0" w:color="auto"/>
            </w:tcBorders>
            <w:shd w:val="clear" w:color="000000" w:fill="FFFFFF"/>
            <w:vAlign w:val="center"/>
            <w:hideMark/>
          </w:tcPr>
          <w:p w14:paraId="2BA3E5B6"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49.27</w:t>
            </w:r>
          </w:p>
        </w:tc>
      </w:tr>
      <w:tr w:rsidR="008A442D" w:rsidRPr="00E619C8" w14:paraId="2DD0D7D5" w14:textId="77777777" w:rsidTr="007F3E4C">
        <w:trPr>
          <w:trHeight w:val="384"/>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082AC634" w14:textId="77777777" w:rsidR="008A442D" w:rsidRPr="00E619C8" w:rsidRDefault="008A442D" w:rsidP="007F3E4C">
            <w:pPr>
              <w:spacing w:line="360" w:lineRule="auto"/>
              <w:jc w:val="center"/>
              <w:rPr>
                <w:rFonts w:ascii="Calibri" w:hAnsi="Calibri" w:cs="Calibri"/>
                <w:color w:val="000000"/>
                <w:sz w:val="22"/>
                <w:szCs w:val="22"/>
              </w:rPr>
            </w:pPr>
            <w:r w:rsidRPr="00E619C8">
              <w:rPr>
                <w:rFonts w:ascii="Calibri" w:hAnsi="Calibri" w:cs="Calibri"/>
                <w:color w:val="000000"/>
                <w:sz w:val="22"/>
                <w:szCs w:val="22"/>
              </w:rPr>
              <w:t>10</w:t>
            </w:r>
          </w:p>
        </w:tc>
        <w:tc>
          <w:tcPr>
            <w:tcW w:w="4690" w:type="dxa"/>
            <w:tcBorders>
              <w:top w:val="nil"/>
              <w:left w:val="nil"/>
              <w:bottom w:val="single" w:sz="4" w:space="0" w:color="auto"/>
              <w:right w:val="single" w:sz="4" w:space="0" w:color="auto"/>
            </w:tcBorders>
            <w:shd w:val="clear" w:color="000000" w:fill="FFFFFF"/>
            <w:vAlign w:val="center"/>
            <w:hideMark/>
          </w:tcPr>
          <w:p w14:paraId="6C0264B9"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Pemuda dan Olahraga</w:t>
            </w:r>
          </w:p>
        </w:tc>
        <w:tc>
          <w:tcPr>
            <w:tcW w:w="1980" w:type="dxa"/>
            <w:tcBorders>
              <w:top w:val="nil"/>
              <w:left w:val="nil"/>
              <w:bottom w:val="single" w:sz="4" w:space="0" w:color="auto"/>
              <w:right w:val="single" w:sz="4" w:space="0" w:color="auto"/>
            </w:tcBorders>
            <w:shd w:val="clear" w:color="000000" w:fill="FFFFFF"/>
            <w:vAlign w:val="center"/>
            <w:hideMark/>
          </w:tcPr>
          <w:p w14:paraId="32DEF103"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45.41</w:t>
            </w:r>
          </w:p>
        </w:tc>
      </w:tr>
      <w:tr w:rsidR="008A442D" w:rsidRPr="00E619C8" w14:paraId="5AAD6DAB" w14:textId="77777777" w:rsidTr="007F3E4C">
        <w:trPr>
          <w:trHeight w:val="288"/>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3FF4D4C1" w14:textId="77777777" w:rsidR="008A442D" w:rsidRPr="00E619C8" w:rsidRDefault="008A442D" w:rsidP="007F3E4C">
            <w:pPr>
              <w:spacing w:line="360" w:lineRule="auto"/>
              <w:jc w:val="center"/>
              <w:rPr>
                <w:rFonts w:ascii="Calibri" w:hAnsi="Calibri" w:cs="Calibri"/>
                <w:color w:val="000000"/>
                <w:sz w:val="22"/>
                <w:szCs w:val="22"/>
              </w:rPr>
            </w:pPr>
            <w:r w:rsidRPr="00E619C8">
              <w:rPr>
                <w:rFonts w:ascii="Calibri" w:hAnsi="Calibri" w:cs="Calibri"/>
                <w:color w:val="000000"/>
                <w:sz w:val="22"/>
                <w:szCs w:val="22"/>
              </w:rPr>
              <w:t>11</w:t>
            </w:r>
          </w:p>
        </w:tc>
        <w:tc>
          <w:tcPr>
            <w:tcW w:w="4690" w:type="dxa"/>
            <w:tcBorders>
              <w:top w:val="nil"/>
              <w:left w:val="nil"/>
              <w:bottom w:val="single" w:sz="4" w:space="0" w:color="auto"/>
              <w:right w:val="single" w:sz="4" w:space="0" w:color="auto"/>
            </w:tcBorders>
            <w:shd w:val="clear" w:color="000000" w:fill="FFFFFF"/>
            <w:vAlign w:val="center"/>
            <w:hideMark/>
          </w:tcPr>
          <w:p w14:paraId="2E92C9CE"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Pendidikan dan Kebudayaan</w:t>
            </w:r>
          </w:p>
        </w:tc>
        <w:tc>
          <w:tcPr>
            <w:tcW w:w="1980" w:type="dxa"/>
            <w:tcBorders>
              <w:top w:val="nil"/>
              <w:left w:val="nil"/>
              <w:bottom w:val="single" w:sz="4" w:space="0" w:color="auto"/>
              <w:right w:val="single" w:sz="4" w:space="0" w:color="auto"/>
            </w:tcBorders>
            <w:shd w:val="clear" w:color="000000" w:fill="FFFFFF"/>
            <w:vAlign w:val="center"/>
            <w:hideMark/>
          </w:tcPr>
          <w:p w14:paraId="5054A792"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41.88</w:t>
            </w:r>
          </w:p>
        </w:tc>
      </w:tr>
      <w:tr w:rsidR="008A442D" w:rsidRPr="00E619C8" w14:paraId="61D980C3" w14:textId="77777777" w:rsidTr="007F3E4C">
        <w:trPr>
          <w:trHeight w:val="384"/>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4A552CF6" w14:textId="77777777" w:rsidR="008A442D" w:rsidRPr="00E619C8" w:rsidRDefault="008A442D" w:rsidP="007F3E4C">
            <w:pPr>
              <w:spacing w:line="360" w:lineRule="auto"/>
              <w:jc w:val="center"/>
              <w:rPr>
                <w:rFonts w:ascii="Calibri" w:hAnsi="Calibri" w:cs="Calibri"/>
                <w:color w:val="000000"/>
                <w:sz w:val="22"/>
                <w:szCs w:val="22"/>
              </w:rPr>
            </w:pPr>
            <w:r w:rsidRPr="00E619C8">
              <w:rPr>
                <w:rFonts w:ascii="Calibri" w:hAnsi="Calibri" w:cs="Calibri"/>
                <w:color w:val="000000"/>
                <w:sz w:val="22"/>
                <w:szCs w:val="22"/>
              </w:rPr>
              <w:t>12</w:t>
            </w:r>
          </w:p>
        </w:tc>
        <w:tc>
          <w:tcPr>
            <w:tcW w:w="4690" w:type="dxa"/>
            <w:tcBorders>
              <w:top w:val="nil"/>
              <w:left w:val="nil"/>
              <w:bottom w:val="single" w:sz="4" w:space="0" w:color="auto"/>
              <w:right w:val="single" w:sz="4" w:space="0" w:color="auto"/>
            </w:tcBorders>
            <w:shd w:val="clear" w:color="000000" w:fill="FFFFFF"/>
            <w:vAlign w:val="center"/>
            <w:hideMark/>
          </w:tcPr>
          <w:p w14:paraId="40AAAC2A"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Koperasi Usaha Kecil dan Menengah</w:t>
            </w:r>
          </w:p>
        </w:tc>
        <w:tc>
          <w:tcPr>
            <w:tcW w:w="1980" w:type="dxa"/>
            <w:tcBorders>
              <w:top w:val="nil"/>
              <w:left w:val="nil"/>
              <w:bottom w:val="single" w:sz="4" w:space="0" w:color="auto"/>
              <w:right w:val="single" w:sz="4" w:space="0" w:color="auto"/>
            </w:tcBorders>
            <w:shd w:val="clear" w:color="000000" w:fill="FFFFFF"/>
            <w:vAlign w:val="center"/>
            <w:hideMark/>
          </w:tcPr>
          <w:p w14:paraId="6E9B9614"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38.95</w:t>
            </w:r>
          </w:p>
        </w:tc>
      </w:tr>
      <w:tr w:rsidR="008A442D" w:rsidRPr="00E619C8" w14:paraId="565619D8" w14:textId="77777777" w:rsidTr="007F3E4C">
        <w:trPr>
          <w:trHeight w:val="288"/>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702DB0A6" w14:textId="77777777" w:rsidR="008A442D" w:rsidRPr="00E619C8" w:rsidRDefault="008A442D" w:rsidP="007F3E4C">
            <w:pPr>
              <w:spacing w:line="360" w:lineRule="auto"/>
              <w:jc w:val="center"/>
              <w:rPr>
                <w:rFonts w:ascii="Calibri" w:hAnsi="Calibri" w:cs="Calibri"/>
                <w:color w:val="000000"/>
                <w:sz w:val="22"/>
                <w:szCs w:val="22"/>
              </w:rPr>
            </w:pPr>
            <w:r w:rsidRPr="00E619C8">
              <w:rPr>
                <w:rFonts w:ascii="Calibri" w:hAnsi="Calibri" w:cs="Calibri"/>
                <w:color w:val="000000"/>
                <w:sz w:val="22"/>
                <w:szCs w:val="22"/>
              </w:rPr>
              <w:t>13</w:t>
            </w:r>
          </w:p>
        </w:tc>
        <w:tc>
          <w:tcPr>
            <w:tcW w:w="4690" w:type="dxa"/>
            <w:tcBorders>
              <w:top w:val="nil"/>
              <w:left w:val="nil"/>
              <w:bottom w:val="single" w:sz="4" w:space="0" w:color="auto"/>
              <w:right w:val="single" w:sz="4" w:space="0" w:color="auto"/>
            </w:tcBorders>
            <w:shd w:val="clear" w:color="000000" w:fill="FFFFFF"/>
            <w:vAlign w:val="center"/>
            <w:hideMark/>
          </w:tcPr>
          <w:p w14:paraId="23DEBB28"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Pariwisata</w:t>
            </w:r>
          </w:p>
        </w:tc>
        <w:tc>
          <w:tcPr>
            <w:tcW w:w="1980" w:type="dxa"/>
            <w:tcBorders>
              <w:top w:val="nil"/>
              <w:left w:val="nil"/>
              <w:bottom w:val="single" w:sz="4" w:space="0" w:color="auto"/>
              <w:right w:val="single" w:sz="4" w:space="0" w:color="auto"/>
            </w:tcBorders>
            <w:shd w:val="clear" w:color="000000" w:fill="FFFFFF"/>
            <w:vAlign w:val="center"/>
            <w:hideMark/>
          </w:tcPr>
          <w:p w14:paraId="32BEA1E8"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35.89</w:t>
            </w:r>
          </w:p>
        </w:tc>
      </w:tr>
      <w:tr w:rsidR="008A442D" w:rsidRPr="00E619C8" w14:paraId="2C3B9EBC" w14:textId="77777777" w:rsidTr="007F3E4C">
        <w:trPr>
          <w:trHeight w:val="384"/>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402A6822" w14:textId="77777777" w:rsidR="008A442D" w:rsidRPr="00E619C8" w:rsidRDefault="008A442D" w:rsidP="007F3E4C">
            <w:pPr>
              <w:spacing w:line="360" w:lineRule="auto"/>
              <w:jc w:val="center"/>
              <w:rPr>
                <w:rFonts w:ascii="Calibri" w:hAnsi="Calibri" w:cs="Calibri"/>
                <w:color w:val="000000"/>
                <w:sz w:val="22"/>
                <w:szCs w:val="22"/>
              </w:rPr>
            </w:pPr>
            <w:r w:rsidRPr="00E619C8">
              <w:rPr>
                <w:rFonts w:ascii="Calibri" w:hAnsi="Calibri" w:cs="Calibri"/>
                <w:color w:val="000000"/>
                <w:sz w:val="22"/>
                <w:szCs w:val="22"/>
              </w:rPr>
              <w:t>14</w:t>
            </w:r>
          </w:p>
        </w:tc>
        <w:tc>
          <w:tcPr>
            <w:tcW w:w="4690" w:type="dxa"/>
            <w:tcBorders>
              <w:top w:val="nil"/>
              <w:left w:val="nil"/>
              <w:bottom w:val="single" w:sz="4" w:space="0" w:color="auto"/>
              <w:right w:val="single" w:sz="4" w:space="0" w:color="auto"/>
            </w:tcBorders>
            <w:shd w:val="clear" w:color="000000" w:fill="FFFFFF"/>
            <w:vAlign w:val="center"/>
            <w:hideMark/>
          </w:tcPr>
          <w:p w14:paraId="35E9B313"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Perumahan dan Permukiman</w:t>
            </w:r>
          </w:p>
        </w:tc>
        <w:tc>
          <w:tcPr>
            <w:tcW w:w="1980" w:type="dxa"/>
            <w:tcBorders>
              <w:top w:val="nil"/>
              <w:left w:val="nil"/>
              <w:bottom w:val="single" w:sz="4" w:space="0" w:color="auto"/>
              <w:right w:val="single" w:sz="4" w:space="0" w:color="auto"/>
            </w:tcBorders>
            <w:shd w:val="clear" w:color="000000" w:fill="FFFFFF"/>
            <w:vAlign w:val="center"/>
            <w:hideMark/>
          </w:tcPr>
          <w:p w14:paraId="6187A7C2"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35.29</w:t>
            </w:r>
          </w:p>
        </w:tc>
      </w:tr>
      <w:tr w:rsidR="008A442D" w:rsidRPr="00E619C8" w14:paraId="71AFB85B" w14:textId="77777777" w:rsidTr="007F3E4C">
        <w:trPr>
          <w:trHeight w:val="288"/>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0645634C" w14:textId="77777777" w:rsidR="008A442D" w:rsidRPr="00E619C8" w:rsidRDefault="008A442D" w:rsidP="007F3E4C">
            <w:pPr>
              <w:spacing w:line="360" w:lineRule="auto"/>
              <w:jc w:val="center"/>
              <w:rPr>
                <w:rFonts w:ascii="Calibri" w:hAnsi="Calibri" w:cs="Calibri"/>
                <w:color w:val="000000"/>
                <w:sz w:val="22"/>
                <w:szCs w:val="22"/>
              </w:rPr>
            </w:pPr>
            <w:r w:rsidRPr="00E619C8">
              <w:rPr>
                <w:rFonts w:ascii="Calibri" w:hAnsi="Calibri" w:cs="Calibri"/>
                <w:color w:val="000000"/>
                <w:sz w:val="22"/>
                <w:szCs w:val="22"/>
              </w:rPr>
              <w:t>15</w:t>
            </w:r>
          </w:p>
        </w:tc>
        <w:tc>
          <w:tcPr>
            <w:tcW w:w="4690" w:type="dxa"/>
            <w:tcBorders>
              <w:top w:val="nil"/>
              <w:left w:val="nil"/>
              <w:bottom w:val="single" w:sz="4" w:space="0" w:color="auto"/>
              <w:right w:val="single" w:sz="4" w:space="0" w:color="auto"/>
            </w:tcBorders>
            <w:shd w:val="clear" w:color="000000" w:fill="FFFFFF"/>
            <w:vAlign w:val="center"/>
            <w:hideMark/>
          </w:tcPr>
          <w:p w14:paraId="2EFF1BA6"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RSUD NTB</w:t>
            </w:r>
          </w:p>
        </w:tc>
        <w:tc>
          <w:tcPr>
            <w:tcW w:w="1980" w:type="dxa"/>
            <w:tcBorders>
              <w:top w:val="nil"/>
              <w:left w:val="nil"/>
              <w:bottom w:val="single" w:sz="4" w:space="0" w:color="auto"/>
              <w:right w:val="single" w:sz="4" w:space="0" w:color="auto"/>
            </w:tcBorders>
            <w:shd w:val="clear" w:color="000000" w:fill="FFFFFF"/>
            <w:vAlign w:val="center"/>
            <w:hideMark/>
          </w:tcPr>
          <w:p w14:paraId="0BD47C42"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33.09</w:t>
            </w:r>
          </w:p>
        </w:tc>
      </w:tr>
      <w:tr w:rsidR="008A442D" w:rsidRPr="00E619C8" w14:paraId="4B906E1D" w14:textId="77777777" w:rsidTr="007F3E4C">
        <w:trPr>
          <w:trHeight w:val="288"/>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7D4066BA" w14:textId="77777777" w:rsidR="008A442D" w:rsidRPr="00E619C8" w:rsidRDefault="008A442D" w:rsidP="007F3E4C">
            <w:pPr>
              <w:spacing w:line="360" w:lineRule="auto"/>
              <w:jc w:val="center"/>
              <w:rPr>
                <w:rFonts w:ascii="Calibri" w:hAnsi="Calibri" w:cs="Calibri"/>
                <w:color w:val="000000"/>
                <w:sz w:val="22"/>
                <w:szCs w:val="22"/>
              </w:rPr>
            </w:pPr>
            <w:r w:rsidRPr="00E619C8">
              <w:rPr>
                <w:rFonts w:ascii="Calibri" w:hAnsi="Calibri" w:cs="Calibri"/>
                <w:color w:val="000000"/>
                <w:sz w:val="22"/>
                <w:szCs w:val="22"/>
              </w:rPr>
              <w:t>16</w:t>
            </w:r>
          </w:p>
        </w:tc>
        <w:tc>
          <w:tcPr>
            <w:tcW w:w="4690" w:type="dxa"/>
            <w:tcBorders>
              <w:top w:val="nil"/>
              <w:left w:val="nil"/>
              <w:bottom w:val="single" w:sz="4" w:space="0" w:color="auto"/>
              <w:right w:val="single" w:sz="4" w:space="0" w:color="auto"/>
            </w:tcBorders>
            <w:shd w:val="clear" w:color="000000" w:fill="FFFFFF"/>
            <w:vAlign w:val="center"/>
            <w:hideMark/>
          </w:tcPr>
          <w:p w14:paraId="2AB1EE86"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Rumah Sakit H. L. Manambai Abdul Kadir</w:t>
            </w:r>
          </w:p>
        </w:tc>
        <w:tc>
          <w:tcPr>
            <w:tcW w:w="1980" w:type="dxa"/>
            <w:tcBorders>
              <w:top w:val="nil"/>
              <w:left w:val="nil"/>
              <w:bottom w:val="single" w:sz="4" w:space="0" w:color="auto"/>
              <w:right w:val="single" w:sz="4" w:space="0" w:color="auto"/>
            </w:tcBorders>
            <w:shd w:val="clear" w:color="000000" w:fill="FFFFFF"/>
            <w:vAlign w:val="center"/>
            <w:hideMark/>
          </w:tcPr>
          <w:p w14:paraId="07185563"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29.2</w:t>
            </w:r>
          </w:p>
        </w:tc>
      </w:tr>
      <w:tr w:rsidR="008A442D" w:rsidRPr="00E619C8" w14:paraId="4F7DA4C6" w14:textId="77777777" w:rsidTr="007F3E4C">
        <w:trPr>
          <w:trHeight w:val="288"/>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7EDD1C62" w14:textId="77777777" w:rsidR="008A442D" w:rsidRPr="00E619C8" w:rsidRDefault="008A442D" w:rsidP="007F3E4C">
            <w:pPr>
              <w:spacing w:line="360" w:lineRule="auto"/>
              <w:jc w:val="center"/>
              <w:rPr>
                <w:rFonts w:ascii="Calibri" w:hAnsi="Calibri" w:cs="Calibri"/>
                <w:color w:val="000000"/>
                <w:sz w:val="22"/>
                <w:szCs w:val="22"/>
              </w:rPr>
            </w:pPr>
            <w:r w:rsidRPr="00E619C8">
              <w:rPr>
                <w:rFonts w:ascii="Calibri" w:hAnsi="Calibri" w:cs="Calibri"/>
                <w:color w:val="000000"/>
                <w:sz w:val="22"/>
                <w:szCs w:val="22"/>
              </w:rPr>
              <w:t>17</w:t>
            </w:r>
          </w:p>
        </w:tc>
        <w:tc>
          <w:tcPr>
            <w:tcW w:w="4690" w:type="dxa"/>
            <w:tcBorders>
              <w:top w:val="nil"/>
              <w:left w:val="nil"/>
              <w:bottom w:val="single" w:sz="4" w:space="0" w:color="auto"/>
              <w:right w:val="single" w:sz="4" w:space="0" w:color="auto"/>
            </w:tcBorders>
            <w:shd w:val="clear" w:color="000000" w:fill="FFFFFF"/>
            <w:vAlign w:val="center"/>
            <w:hideMark/>
          </w:tcPr>
          <w:p w14:paraId="0396D13E"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Perpustakaan dan Kearsipan</w:t>
            </w:r>
          </w:p>
        </w:tc>
        <w:tc>
          <w:tcPr>
            <w:tcW w:w="1980" w:type="dxa"/>
            <w:tcBorders>
              <w:top w:val="nil"/>
              <w:left w:val="nil"/>
              <w:bottom w:val="single" w:sz="4" w:space="0" w:color="auto"/>
              <w:right w:val="single" w:sz="4" w:space="0" w:color="auto"/>
            </w:tcBorders>
            <w:shd w:val="clear" w:color="000000" w:fill="FFFFFF"/>
            <w:vAlign w:val="center"/>
            <w:hideMark/>
          </w:tcPr>
          <w:p w14:paraId="4BE5F1E4"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20.58</w:t>
            </w:r>
          </w:p>
        </w:tc>
      </w:tr>
      <w:tr w:rsidR="008A442D" w:rsidRPr="00E619C8" w14:paraId="388A8F66" w14:textId="77777777" w:rsidTr="007F3E4C">
        <w:trPr>
          <w:trHeight w:val="384"/>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22271DD1" w14:textId="77777777" w:rsidR="008A442D" w:rsidRPr="00E619C8" w:rsidRDefault="008A442D" w:rsidP="007F3E4C">
            <w:pPr>
              <w:spacing w:line="360" w:lineRule="auto"/>
              <w:jc w:val="center"/>
              <w:rPr>
                <w:rFonts w:ascii="Calibri" w:hAnsi="Calibri" w:cs="Calibri"/>
                <w:color w:val="000000"/>
                <w:sz w:val="22"/>
                <w:szCs w:val="22"/>
              </w:rPr>
            </w:pPr>
            <w:r w:rsidRPr="00E619C8">
              <w:rPr>
                <w:rFonts w:ascii="Calibri" w:hAnsi="Calibri" w:cs="Calibri"/>
                <w:color w:val="000000"/>
                <w:sz w:val="22"/>
                <w:szCs w:val="22"/>
              </w:rPr>
              <w:t>18</w:t>
            </w:r>
          </w:p>
        </w:tc>
        <w:tc>
          <w:tcPr>
            <w:tcW w:w="4690" w:type="dxa"/>
            <w:tcBorders>
              <w:top w:val="nil"/>
              <w:left w:val="nil"/>
              <w:bottom w:val="single" w:sz="4" w:space="0" w:color="auto"/>
              <w:right w:val="single" w:sz="4" w:space="0" w:color="auto"/>
            </w:tcBorders>
            <w:shd w:val="clear" w:color="000000" w:fill="FFFFFF"/>
            <w:vAlign w:val="center"/>
            <w:hideMark/>
          </w:tcPr>
          <w:p w14:paraId="51AFA541"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Sekretariat Dewan Perwakilan Rakyat Daerah</w:t>
            </w:r>
          </w:p>
        </w:tc>
        <w:tc>
          <w:tcPr>
            <w:tcW w:w="1980" w:type="dxa"/>
            <w:tcBorders>
              <w:top w:val="nil"/>
              <w:left w:val="nil"/>
              <w:bottom w:val="single" w:sz="4" w:space="0" w:color="auto"/>
              <w:right w:val="single" w:sz="4" w:space="0" w:color="auto"/>
            </w:tcBorders>
            <w:shd w:val="clear" w:color="000000" w:fill="FFFFFF"/>
            <w:vAlign w:val="center"/>
            <w:hideMark/>
          </w:tcPr>
          <w:p w14:paraId="5A638FA5"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20.22</w:t>
            </w:r>
          </w:p>
        </w:tc>
      </w:tr>
      <w:tr w:rsidR="008A442D" w:rsidRPr="00E619C8" w14:paraId="7CE78F69" w14:textId="77777777" w:rsidTr="004819ED">
        <w:trPr>
          <w:trHeight w:val="67"/>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36AC0975" w14:textId="77777777" w:rsidR="008A442D" w:rsidRPr="00E619C8" w:rsidRDefault="008A442D" w:rsidP="007F3E4C">
            <w:pPr>
              <w:spacing w:line="360" w:lineRule="auto"/>
              <w:jc w:val="center"/>
              <w:rPr>
                <w:rFonts w:ascii="Calibri" w:hAnsi="Calibri" w:cs="Calibri"/>
                <w:color w:val="000000"/>
                <w:sz w:val="22"/>
                <w:szCs w:val="22"/>
              </w:rPr>
            </w:pPr>
            <w:r w:rsidRPr="00E619C8">
              <w:rPr>
                <w:rFonts w:ascii="Calibri" w:hAnsi="Calibri" w:cs="Calibri"/>
                <w:color w:val="000000"/>
                <w:sz w:val="22"/>
                <w:szCs w:val="22"/>
              </w:rPr>
              <w:t>19</w:t>
            </w:r>
          </w:p>
        </w:tc>
        <w:tc>
          <w:tcPr>
            <w:tcW w:w="4690" w:type="dxa"/>
            <w:tcBorders>
              <w:top w:val="nil"/>
              <w:left w:val="nil"/>
              <w:bottom w:val="single" w:sz="4" w:space="0" w:color="auto"/>
              <w:right w:val="single" w:sz="4" w:space="0" w:color="auto"/>
            </w:tcBorders>
            <w:shd w:val="clear" w:color="000000" w:fill="FFFFFF"/>
            <w:vAlign w:val="center"/>
            <w:hideMark/>
          </w:tcPr>
          <w:p w14:paraId="00F39956"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Pekerjaan Umum dan Penataan Ruang (Bidang Cipta Karya)</w:t>
            </w:r>
          </w:p>
        </w:tc>
        <w:tc>
          <w:tcPr>
            <w:tcW w:w="1980" w:type="dxa"/>
            <w:tcBorders>
              <w:top w:val="nil"/>
              <w:left w:val="nil"/>
              <w:bottom w:val="single" w:sz="4" w:space="0" w:color="auto"/>
              <w:right w:val="single" w:sz="4" w:space="0" w:color="auto"/>
            </w:tcBorders>
            <w:shd w:val="clear" w:color="000000" w:fill="FFFFFF"/>
            <w:vAlign w:val="center"/>
            <w:hideMark/>
          </w:tcPr>
          <w:p w14:paraId="1C4E24D4"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18.21</w:t>
            </w:r>
          </w:p>
        </w:tc>
      </w:tr>
    </w:tbl>
    <w:p w14:paraId="0F10E833" w14:textId="0D5AA247" w:rsidR="002033A5" w:rsidRPr="00E619C8" w:rsidRDefault="00E113EC">
      <w:pPr>
        <w:spacing w:before="240" w:after="240" w:line="300" w:lineRule="auto"/>
        <w:jc w:val="center"/>
        <w:rPr>
          <w:rFonts w:ascii="Arial" w:eastAsia="Arial" w:hAnsi="Arial" w:cs="Arial"/>
          <w:sz w:val="20"/>
          <w:szCs w:val="20"/>
        </w:rPr>
      </w:pPr>
      <w:r w:rsidRPr="00E619C8">
        <w:rPr>
          <w:rFonts w:ascii="Arial" w:eastAsia="Arial" w:hAnsi="Arial" w:cs="Arial"/>
          <w:sz w:val="20"/>
          <w:szCs w:val="20"/>
        </w:rPr>
        <w:t xml:space="preserve">Table </w:t>
      </w:r>
      <w:r w:rsidR="00DD0F1A" w:rsidRPr="00E619C8">
        <w:rPr>
          <w:rFonts w:ascii="Arial" w:eastAsia="Arial" w:hAnsi="Arial" w:cs="Arial"/>
          <w:sz w:val="20"/>
          <w:szCs w:val="20"/>
        </w:rPr>
        <w:t>15</w:t>
      </w:r>
      <w:r w:rsidRPr="00E619C8">
        <w:rPr>
          <w:rFonts w:ascii="Arial" w:eastAsia="Arial" w:hAnsi="Arial" w:cs="Arial"/>
          <w:sz w:val="20"/>
          <w:szCs w:val="20"/>
        </w:rPr>
        <w:t>. Sub-Ranking of Top Procuring Entities in Dimension 2 (Capacities and Processes)</w:t>
      </w:r>
    </w:p>
    <w:p w14:paraId="14AEA25D" w14:textId="69103217" w:rsidR="008A442D"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For Dimension 2 (Capacities and Processes), the Regional Revenue Management Agency (BPPD) ranks first (79.54), followed by Mandalika Hospital (77.17) and Public Works and Spatial Planning – Bina Marga (72.63). This indicates that some entities have comparatively strong internal systems, technical knowledge, and procedures that enable disclosure. However, strong capacity does not necessarily translate into strong participation or disclosure outcomes, suggesting that institutional readiness alone is insufficient unless it is paired with active engagement practices and consistent publication routines.</w:t>
      </w:r>
    </w:p>
    <w:tbl>
      <w:tblPr>
        <w:tblW w:w="7970" w:type="dxa"/>
        <w:jc w:val="center"/>
        <w:tblLook w:val="04A0" w:firstRow="1" w:lastRow="0" w:firstColumn="1" w:lastColumn="0" w:noHBand="0" w:noVBand="1"/>
      </w:tblPr>
      <w:tblGrid>
        <w:gridCol w:w="1075"/>
        <w:gridCol w:w="4835"/>
        <w:gridCol w:w="2060"/>
      </w:tblGrid>
      <w:tr w:rsidR="008A442D" w:rsidRPr="00E619C8" w14:paraId="61CBA2F4" w14:textId="77777777" w:rsidTr="007F3E4C">
        <w:trPr>
          <w:trHeight w:val="888"/>
          <w:jc w:val="center"/>
        </w:trPr>
        <w:tc>
          <w:tcPr>
            <w:tcW w:w="1075"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736A9448" w14:textId="77777777" w:rsidR="008A442D" w:rsidRPr="00E619C8" w:rsidRDefault="008A442D" w:rsidP="007F3E4C">
            <w:pPr>
              <w:spacing w:line="360" w:lineRule="auto"/>
              <w:jc w:val="center"/>
              <w:rPr>
                <w:rFonts w:ascii="Arial" w:hAnsi="Arial" w:cs="Arial"/>
                <w:b/>
                <w:bCs/>
                <w:color w:val="FFFFFF"/>
                <w:sz w:val="22"/>
                <w:szCs w:val="22"/>
              </w:rPr>
            </w:pPr>
            <w:r w:rsidRPr="00E619C8">
              <w:rPr>
                <w:rFonts w:ascii="Arial" w:hAnsi="Arial" w:cs="Arial"/>
                <w:b/>
                <w:bCs/>
                <w:color w:val="FFFFFF"/>
                <w:sz w:val="22"/>
                <w:szCs w:val="22"/>
              </w:rPr>
              <w:t>Rank</w:t>
            </w:r>
          </w:p>
        </w:tc>
        <w:tc>
          <w:tcPr>
            <w:tcW w:w="4835" w:type="dxa"/>
            <w:tcBorders>
              <w:top w:val="single" w:sz="4" w:space="0" w:color="auto"/>
              <w:left w:val="nil"/>
              <w:bottom w:val="single" w:sz="4" w:space="0" w:color="auto"/>
              <w:right w:val="single" w:sz="4" w:space="0" w:color="auto"/>
            </w:tcBorders>
            <w:shd w:val="clear" w:color="auto" w:fill="C00000"/>
            <w:vAlign w:val="center"/>
            <w:hideMark/>
          </w:tcPr>
          <w:p w14:paraId="5AC784B1" w14:textId="77777777" w:rsidR="008A442D" w:rsidRPr="00E619C8" w:rsidRDefault="008A442D" w:rsidP="007F3E4C">
            <w:pPr>
              <w:spacing w:line="360" w:lineRule="auto"/>
              <w:jc w:val="center"/>
              <w:rPr>
                <w:rFonts w:ascii="Arial" w:hAnsi="Arial" w:cs="Arial"/>
                <w:b/>
                <w:bCs/>
                <w:color w:val="FFFFFF"/>
                <w:sz w:val="22"/>
                <w:szCs w:val="22"/>
              </w:rPr>
            </w:pPr>
            <w:r w:rsidRPr="00E619C8">
              <w:rPr>
                <w:rFonts w:ascii="Arial" w:hAnsi="Arial" w:cs="Arial"/>
                <w:b/>
                <w:bCs/>
                <w:color w:val="FFFFFF"/>
                <w:sz w:val="22"/>
                <w:szCs w:val="22"/>
              </w:rPr>
              <w:t>Procuring Entity</w:t>
            </w:r>
          </w:p>
        </w:tc>
        <w:tc>
          <w:tcPr>
            <w:tcW w:w="2060" w:type="dxa"/>
            <w:tcBorders>
              <w:top w:val="single" w:sz="4" w:space="0" w:color="auto"/>
              <w:left w:val="nil"/>
              <w:bottom w:val="single" w:sz="4" w:space="0" w:color="auto"/>
              <w:right w:val="single" w:sz="4" w:space="0" w:color="auto"/>
            </w:tcBorders>
            <w:shd w:val="clear" w:color="auto" w:fill="C00000"/>
            <w:vAlign w:val="center"/>
            <w:hideMark/>
          </w:tcPr>
          <w:p w14:paraId="333A61ED" w14:textId="77777777" w:rsidR="008A442D" w:rsidRPr="00E619C8" w:rsidRDefault="008A442D" w:rsidP="007F3E4C">
            <w:pPr>
              <w:jc w:val="center"/>
              <w:rPr>
                <w:rFonts w:ascii="Arial" w:hAnsi="Arial" w:cs="Arial"/>
                <w:b/>
                <w:bCs/>
                <w:color w:val="FFFFFF"/>
                <w:sz w:val="22"/>
                <w:szCs w:val="22"/>
              </w:rPr>
            </w:pPr>
            <w:r w:rsidRPr="00E619C8">
              <w:rPr>
                <w:rFonts w:ascii="Arial" w:hAnsi="Arial" w:cs="Arial"/>
                <w:b/>
                <w:bCs/>
                <w:color w:val="FFFFFF"/>
                <w:sz w:val="22"/>
                <w:szCs w:val="22"/>
              </w:rPr>
              <w:t>DIMENSION 3 Citizen participation</w:t>
            </w:r>
          </w:p>
        </w:tc>
      </w:tr>
      <w:tr w:rsidR="008A442D" w:rsidRPr="00E619C8" w14:paraId="7E1E611D" w14:textId="77777777" w:rsidTr="007F3E4C">
        <w:trPr>
          <w:trHeight w:val="408"/>
          <w:jc w:val="center"/>
        </w:trPr>
        <w:tc>
          <w:tcPr>
            <w:tcW w:w="1075" w:type="dxa"/>
            <w:tcBorders>
              <w:top w:val="nil"/>
              <w:left w:val="single" w:sz="4" w:space="0" w:color="auto"/>
              <w:bottom w:val="single" w:sz="4" w:space="0" w:color="auto"/>
              <w:right w:val="single" w:sz="4" w:space="0" w:color="auto"/>
            </w:tcBorders>
            <w:shd w:val="clear" w:color="000000" w:fill="FFFFFF"/>
            <w:noWrap/>
            <w:vAlign w:val="center"/>
            <w:hideMark/>
          </w:tcPr>
          <w:p w14:paraId="5C374D05"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w:t>
            </w:r>
          </w:p>
        </w:tc>
        <w:tc>
          <w:tcPr>
            <w:tcW w:w="4835" w:type="dxa"/>
            <w:tcBorders>
              <w:top w:val="nil"/>
              <w:left w:val="nil"/>
              <w:bottom w:val="single" w:sz="4" w:space="0" w:color="auto"/>
              <w:right w:val="single" w:sz="4" w:space="0" w:color="auto"/>
            </w:tcBorders>
            <w:shd w:val="clear" w:color="000000" w:fill="FFFFFF"/>
            <w:vAlign w:val="center"/>
            <w:hideMark/>
          </w:tcPr>
          <w:p w14:paraId="5092A59D"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Pekerjaan Umum dan Penataan Ruang (Bidang Bina Marga)</w:t>
            </w:r>
          </w:p>
        </w:tc>
        <w:tc>
          <w:tcPr>
            <w:tcW w:w="2060" w:type="dxa"/>
            <w:tcBorders>
              <w:top w:val="nil"/>
              <w:left w:val="nil"/>
              <w:bottom w:val="single" w:sz="4" w:space="0" w:color="auto"/>
              <w:right w:val="single" w:sz="4" w:space="0" w:color="auto"/>
            </w:tcBorders>
            <w:shd w:val="clear" w:color="000000" w:fill="FFFFFF"/>
            <w:vAlign w:val="center"/>
            <w:hideMark/>
          </w:tcPr>
          <w:p w14:paraId="24E847FC"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75.9</w:t>
            </w:r>
          </w:p>
        </w:tc>
      </w:tr>
      <w:tr w:rsidR="008A442D" w:rsidRPr="00E619C8" w14:paraId="445F0B7E" w14:textId="77777777" w:rsidTr="007F3E4C">
        <w:trPr>
          <w:trHeight w:val="384"/>
          <w:jc w:val="center"/>
        </w:trPr>
        <w:tc>
          <w:tcPr>
            <w:tcW w:w="1075" w:type="dxa"/>
            <w:tcBorders>
              <w:top w:val="nil"/>
              <w:left w:val="single" w:sz="4" w:space="0" w:color="auto"/>
              <w:bottom w:val="single" w:sz="4" w:space="0" w:color="auto"/>
              <w:right w:val="single" w:sz="4" w:space="0" w:color="auto"/>
            </w:tcBorders>
            <w:shd w:val="clear" w:color="000000" w:fill="FFFFFF"/>
            <w:noWrap/>
            <w:vAlign w:val="center"/>
            <w:hideMark/>
          </w:tcPr>
          <w:p w14:paraId="6E809C2E"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2</w:t>
            </w:r>
          </w:p>
        </w:tc>
        <w:tc>
          <w:tcPr>
            <w:tcW w:w="4835" w:type="dxa"/>
            <w:tcBorders>
              <w:top w:val="nil"/>
              <w:left w:val="nil"/>
              <w:bottom w:val="single" w:sz="4" w:space="0" w:color="auto"/>
              <w:right w:val="single" w:sz="4" w:space="0" w:color="auto"/>
            </w:tcBorders>
            <w:shd w:val="clear" w:color="000000" w:fill="FFFFFF"/>
            <w:vAlign w:val="center"/>
            <w:hideMark/>
          </w:tcPr>
          <w:p w14:paraId="56F47A49"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Pertanian dan Perkebunan</w:t>
            </w:r>
          </w:p>
        </w:tc>
        <w:tc>
          <w:tcPr>
            <w:tcW w:w="2060" w:type="dxa"/>
            <w:tcBorders>
              <w:top w:val="nil"/>
              <w:left w:val="nil"/>
              <w:bottom w:val="single" w:sz="4" w:space="0" w:color="auto"/>
              <w:right w:val="single" w:sz="4" w:space="0" w:color="auto"/>
            </w:tcBorders>
            <w:shd w:val="clear" w:color="000000" w:fill="FFFFFF"/>
            <w:vAlign w:val="center"/>
            <w:hideMark/>
          </w:tcPr>
          <w:p w14:paraId="7C0419CF"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69.05</w:t>
            </w:r>
          </w:p>
        </w:tc>
      </w:tr>
      <w:tr w:rsidR="008A442D" w:rsidRPr="00E619C8" w14:paraId="36F0E35C" w14:textId="77777777" w:rsidTr="007F3E4C">
        <w:trPr>
          <w:trHeight w:val="372"/>
          <w:jc w:val="center"/>
        </w:trPr>
        <w:tc>
          <w:tcPr>
            <w:tcW w:w="1075" w:type="dxa"/>
            <w:tcBorders>
              <w:top w:val="nil"/>
              <w:left w:val="single" w:sz="4" w:space="0" w:color="auto"/>
              <w:bottom w:val="single" w:sz="4" w:space="0" w:color="auto"/>
              <w:right w:val="single" w:sz="4" w:space="0" w:color="auto"/>
            </w:tcBorders>
            <w:shd w:val="clear" w:color="000000" w:fill="FFFFFF"/>
            <w:noWrap/>
            <w:vAlign w:val="center"/>
            <w:hideMark/>
          </w:tcPr>
          <w:p w14:paraId="0D48ACD4"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3</w:t>
            </w:r>
          </w:p>
        </w:tc>
        <w:tc>
          <w:tcPr>
            <w:tcW w:w="4835" w:type="dxa"/>
            <w:tcBorders>
              <w:top w:val="nil"/>
              <w:left w:val="nil"/>
              <w:bottom w:val="single" w:sz="4" w:space="0" w:color="auto"/>
              <w:right w:val="single" w:sz="4" w:space="0" w:color="auto"/>
            </w:tcBorders>
            <w:shd w:val="clear" w:color="000000" w:fill="FFFFFF"/>
            <w:vAlign w:val="center"/>
            <w:hideMark/>
          </w:tcPr>
          <w:p w14:paraId="381B0281"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Rumah Sakit Mandalika</w:t>
            </w:r>
          </w:p>
        </w:tc>
        <w:tc>
          <w:tcPr>
            <w:tcW w:w="2060" w:type="dxa"/>
            <w:tcBorders>
              <w:top w:val="nil"/>
              <w:left w:val="nil"/>
              <w:bottom w:val="single" w:sz="4" w:space="0" w:color="auto"/>
              <w:right w:val="single" w:sz="4" w:space="0" w:color="auto"/>
            </w:tcBorders>
            <w:shd w:val="clear" w:color="000000" w:fill="FFFFFF"/>
            <w:vAlign w:val="center"/>
            <w:hideMark/>
          </w:tcPr>
          <w:p w14:paraId="7F3BDF42"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67.1</w:t>
            </w:r>
          </w:p>
        </w:tc>
      </w:tr>
      <w:tr w:rsidR="008A442D" w:rsidRPr="00E619C8" w14:paraId="62B9A56F" w14:textId="77777777" w:rsidTr="007F3E4C">
        <w:trPr>
          <w:trHeight w:val="372"/>
          <w:jc w:val="center"/>
        </w:trPr>
        <w:tc>
          <w:tcPr>
            <w:tcW w:w="1075" w:type="dxa"/>
            <w:tcBorders>
              <w:top w:val="nil"/>
              <w:left w:val="single" w:sz="4" w:space="0" w:color="auto"/>
              <w:bottom w:val="single" w:sz="4" w:space="0" w:color="auto"/>
              <w:right w:val="single" w:sz="4" w:space="0" w:color="auto"/>
            </w:tcBorders>
            <w:shd w:val="clear" w:color="000000" w:fill="FFFFFF"/>
            <w:noWrap/>
            <w:vAlign w:val="center"/>
            <w:hideMark/>
          </w:tcPr>
          <w:p w14:paraId="524F07FA"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4</w:t>
            </w:r>
          </w:p>
        </w:tc>
        <w:tc>
          <w:tcPr>
            <w:tcW w:w="4835" w:type="dxa"/>
            <w:tcBorders>
              <w:top w:val="nil"/>
              <w:left w:val="nil"/>
              <w:bottom w:val="single" w:sz="4" w:space="0" w:color="auto"/>
              <w:right w:val="single" w:sz="4" w:space="0" w:color="auto"/>
            </w:tcBorders>
            <w:shd w:val="clear" w:color="000000" w:fill="FFFFFF"/>
            <w:vAlign w:val="center"/>
            <w:hideMark/>
          </w:tcPr>
          <w:p w14:paraId="3CF1ED91"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Rumah Sakit Jiwa Mutiara Sukma Provinsi</w:t>
            </w:r>
          </w:p>
        </w:tc>
        <w:tc>
          <w:tcPr>
            <w:tcW w:w="2060" w:type="dxa"/>
            <w:tcBorders>
              <w:top w:val="nil"/>
              <w:left w:val="nil"/>
              <w:bottom w:val="single" w:sz="4" w:space="0" w:color="auto"/>
              <w:right w:val="single" w:sz="4" w:space="0" w:color="auto"/>
            </w:tcBorders>
            <w:shd w:val="clear" w:color="000000" w:fill="FFFFFF"/>
            <w:vAlign w:val="center"/>
            <w:hideMark/>
          </w:tcPr>
          <w:p w14:paraId="2833B529"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60.8</w:t>
            </w:r>
          </w:p>
        </w:tc>
      </w:tr>
      <w:tr w:rsidR="008A442D" w:rsidRPr="00E619C8" w14:paraId="551730AB" w14:textId="77777777" w:rsidTr="007F3E4C">
        <w:trPr>
          <w:trHeight w:val="384"/>
          <w:jc w:val="center"/>
        </w:trPr>
        <w:tc>
          <w:tcPr>
            <w:tcW w:w="1075" w:type="dxa"/>
            <w:tcBorders>
              <w:top w:val="nil"/>
              <w:left w:val="single" w:sz="4" w:space="0" w:color="auto"/>
              <w:bottom w:val="single" w:sz="4" w:space="0" w:color="auto"/>
              <w:right w:val="single" w:sz="4" w:space="0" w:color="auto"/>
            </w:tcBorders>
            <w:shd w:val="clear" w:color="000000" w:fill="FFFFFF"/>
            <w:noWrap/>
            <w:vAlign w:val="center"/>
            <w:hideMark/>
          </w:tcPr>
          <w:p w14:paraId="070C6E5E"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5</w:t>
            </w:r>
          </w:p>
        </w:tc>
        <w:tc>
          <w:tcPr>
            <w:tcW w:w="4835" w:type="dxa"/>
            <w:tcBorders>
              <w:top w:val="nil"/>
              <w:left w:val="nil"/>
              <w:bottom w:val="single" w:sz="4" w:space="0" w:color="auto"/>
              <w:right w:val="single" w:sz="4" w:space="0" w:color="auto"/>
            </w:tcBorders>
            <w:shd w:val="clear" w:color="000000" w:fill="FFFFFF"/>
            <w:vAlign w:val="center"/>
            <w:hideMark/>
          </w:tcPr>
          <w:p w14:paraId="02F2B3DD"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Kelautan dan Perikanan</w:t>
            </w:r>
          </w:p>
        </w:tc>
        <w:tc>
          <w:tcPr>
            <w:tcW w:w="2060" w:type="dxa"/>
            <w:tcBorders>
              <w:top w:val="nil"/>
              <w:left w:val="nil"/>
              <w:bottom w:val="single" w:sz="4" w:space="0" w:color="auto"/>
              <w:right w:val="single" w:sz="4" w:space="0" w:color="auto"/>
            </w:tcBorders>
            <w:shd w:val="clear" w:color="000000" w:fill="FFFFFF"/>
            <w:vAlign w:val="center"/>
            <w:hideMark/>
          </w:tcPr>
          <w:p w14:paraId="33EAE31A"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58.45</w:t>
            </w:r>
          </w:p>
        </w:tc>
      </w:tr>
      <w:tr w:rsidR="008A442D" w:rsidRPr="00E619C8" w14:paraId="3826F4BE" w14:textId="77777777" w:rsidTr="007F3E4C">
        <w:trPr>
          <w:trHeight w:val="384"/>
          <w:jc w:val="center"/>
        </w:trPr>
        <w:tc>
          <w:tcPr>
            <w:tcW w:w="1075" w:type="dxa"/>
            <w:tcBorders>
              <w:top w:val="nil"/>
              <w:left w:val="single" w:sz="4" w:space="0" w:color="auto"/>
              <w:bottom w:val="single" w:sz="4" w:space="0" w:color="auto"/>
              <w:right w:val="single" w:sz="4" w:space="0" w:color="auto"/>
            </w:tcBorders>
            <w:shd w:val="clear" w:color="000000" w:fill="FFFFFF"/>
            <w:noWrap/>
            <w:vAlign w:val="center"/>
            <w:hideMark/>
          </w:tcPr>
          <w:p w14:paraId="75B2E0E4"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6</w:t>
            </w:r>
          </w:p>
        </w:tc>
        <w:tc>
          <w:tcPr>
            <w:tcW w:w="4835" w:type="dxa"/>
            <w:tcBorders>
              <w:top w:val="nil"/>
              <w:left w:val="nil"/>
              <w:bottom w:val="single" w:sz="4" w:space="0" w:color="auto"/>
              <w:right w:val="single" w:sz="4" w:space="0" w:color="auto"/>
            </w:tcBorders>
            <w:shd w:val="clear" w:color="000000" w:fill="FFFFFF"/>
            <w:vAlign w:val="center"/>
            <w:hideMark/>
          </w:tcPr>
          <w:p w14:paraId="6A6A83AF"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Pekerjaan Umum dan Penataan Ruang (Bidang Sumber Daya Air)</w:t>
            </w:r>
          </w:p>
        </w:tc>
        <w:tc>
          <w:tcPr>
            <w:tcW w:w="2060" w:type="dxa"/>
            <w:tcBorders>
              <w:top w:val="nil"/>
              <w:left w:val="nil"/>
              <w:bottom w:val="single" w:sz="4" w:space="0" w:color="auto"/>
              <w:right w:val="single" w:sz="4" w:space="0" w:color="auto"/>
            </w:tcBorders>
            <w:shd w:val="clear" w:color="000000" w:fill="FFFFFF"/>
            <w:vAlign w:val="center"/>
            <w:hideMark/>
          </w:tcPr>
          <w:p w14:paraId="134AD054"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57.25</w:t>
            </w:r>
          </w:p>
        </w:tc>
      </w:tr>
      <w:tr w:rsidR="008A442D" w:rsidRPr="00E619C8" w14:paraId="66CDCFDF" w14:textId="77777777" w:rsidTr="007F3E4C">
        <w:trPr>
          <w:trHeight w:val="372"/>
          <w:jc w:val="center"/>
        </w:trPr>
        <w:tc>
          <w:tcPr>
            <w:tcW w:w="1075" w:type="dxa"/>
            <w:tcBorders>
              <w:top w:val="nil"/>
              <w:left w:val="single" w:sz="4" w:space="0" w:color="auto"/>
              <w:bottom w:val="single" w:sz="4" w:space="0" w:color="auto"/>
              <w:right w:val="single" w:sz="4" w:space="0" w:color="auto"/>
            </w:tcBorders>
            <w:shd w:val="clear" w:color="000000" w:fill="FFFFFF"/>
            <w:noWrap/>
            <w:vAlign w:val="center"/>
            <w:hideMark/>
          </w:tcPr>
          <w:p w14:paraId="4987E8C7"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7</w:t>
            </w:r>
          </w:p>
        </w:tc>
        <w:tc>
          <w:tcPr>
            <w:tcW w:w="4835" w:type="dxa"/>
            <w:tcBorders>
              <w:top w:val="nil"/>
              <w:left w:val="nil"/>
              <w:bottom w:val="single" w:sz="4" w:space="0" w:color="auto"/>
              <w:right w:val="single" w:sz="4" w:space="0" w:color="auto"/>
            </w:tcBorders>
            <w:shd w:val="clear" w:color="000000" w:fill="FFFFFF"/>
            <w:vAlign w:val="center"/>
            <w:hideMark/>
          </w:tcPr>
          <w:p w14:paraId="7DF9E644"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Pendidikan dan Kebudayaan</w:t>
            </w:r>
          </w:p>
        </w:tc>
        <w:tc>
          <w:tcPr>
            <w:tcW w:w="2060" w:type="dxa"/>
            <w:tcBorders>
              <w:top w:val="nil"/>
              <w:left w:val="nil"/>
              <w:bottom w:val="single" w:sz="4" w:space="0" w:color="auto"/>
              <w:right w:val="single" w:sz="4" w:space="0" w:color="auto"/>
            </w:tcBorders>
            <w:shd w:val="clear" w:color="000000" w:fill="FFFFFF"/>
            <w:vAlign w:val="center"/>
            <w:hideMark/>
          </w:tcPr>
          <w:p w14:paraId="7703C5F2"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33</w:t>
            </w:r>
          </w:p>
        </w:tc>
      </w:tr>
      <w:tr w:rsidR="008A442D" w:rsidRPr="00E619C8" w14:paraId="152FD62E" w14:textId="77777777" w:rsidTr="007F3E4C">
        <w:trPr>
          <w:trHeight w:val="372"/>
          <w:jc w:val="center"/>
        </w:trPr>
        <w:tc>
          <w:tcPr>
            <w:tcW w:w="1075" w:type="dxa"/>
            <w:tcBorders>
              <w:top w:val="nil"/>
              <w:left w:val="single" w:sz="4" w:space="0" w:color="auto"/>
              <w:bottom w:val="single" w:sz="4" w:space="0" w:color="auto"/>
              <w:right w:val="single" w:sz="4" w:space="0" w:color="auto"/>
            </w:tcBorders>
            <w:shd w:val="clear" w:color="000000" w:fill="FFFFFF"/>
            <w:noWrap/>
            <w:vAlign w:val="center"/>
            <w:hideMark/>
          </w:tcPr>
          <w:p w14:paraId="00AC7AB4"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8</w:t>
            </w:r>
          </w:p>
        </w:tc>
        <w:tc>
          <w:tcPr>
            <w:tcW w:w="4835" w:type="dxa"/>
            <w:tcBorders>
              <w:top w:val="nil"/>
              <w:left w:val="nil"/>
              <w:bottom w:val="single" w:sz="4" w:space="0" w:color="auto"/>
              <w:right w:val="single" w:sz="4" w:space="0" w:color="auto"/>
            </w:tcBorders>
            <w:shd w:val="clear" w:color="000000" w:fill="FFFFFF"/>
            <w:vAlign w:val="center"/>
            <w:hideMark/>
          </w:tcPr>
          <w:p w14:paraId="73EBF2F3"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Lingkungan Hidup dan Kehutanan</w:t>
            </w:r>
          </w:p>
        </w:tc>
        <w:tc>
          <w:tcPr>
            <w:tcW w:w="2060" w:type="dxa"/>
            <w:tcBorders>
              <w:top w:val="nil"/>
              <w:left w:val="nil"/>
              <w:bottom w:val="single" w:sz="4" w:space="0" w:color="auto"/>
              <w:right w:val="single" w:sz="4" w:space="0" w:color="auto"/>
            </w:tcBorders>
            <w:shd w:val="clear" w:color="000000" w:fill="FFFFFF"/>
            <w:vAlign w:val="center"/>
            <w:hideMark/>
          </w:tcPr>
          <w:p w14:paraId="3DD450E2"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32.2</w:t>
            </w:r>
          </w:p>
        </w:tc>
      </w:tr>
      <w:tr w:rsidR="008A442D" w:rsidRPr="00E619C8" w14:paraId="1FC859B7" w14:textId="77777777" w:rsidTr="007F3E4C">
        <w:trPr>
          <w:trHeight w:val="372"/>
          <w:jc w:val="center"/>
        </w:trPr>
        <w:tc>
          <w:tcPr>
            <w:tcW w:w="1075" w:type="dxa"/>
            <w:tcBorders>
              <w:top w:val="nil"/>
              <w:left w:val="single" w:sz="4" w:space="0" w:color="auto"/>
              <w:bottom w:val="single" w:sz="4" w:space="0" w:color="auto"/>
              <w:right w:val="single" w:sz="4" w:space="0" w:color="auto"/>
            </w:tcBorders>
            <w:shd w:val="clear" w:color="000000" w:fill="FFFFFF"/>
            <w:noWrap/>
            <w:vAlign w:val="center"/>
            <w:hideMark/>
          </w:tcPr>
          <w:p w14:paraId="673861A6"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9</w:t>
            </w:r>
          </w:p>
        </w:tc>
        <w:tc>
          <w:tcPr>
            <w:tcW w:w="4835" w:type="dxa"/>
            <w:tcBorders>
              <w:top w:val="nil"/>
              <w:left w:val="nil"/>
              <w:bottom w:val="single" w:sz="4" w:space="0" w:color="auto"/>
              <w:right w:val="single" w:sz="4" w:space="0" w:color="auto"/>
            </w:tcBorders>
            <w:shd w:val="clear" w:color="000000" w:fill="FFFFFF"/>
            <w:vAlign w:val="center"/>
            <w:hideMark/>
          </w:tcPr>
          <w:p w14:paraId="79070D52"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Pemuda dan Olahraga</w:t>
            </w:r>
          </w:p>
        </w:tc>
        <w:tc>
          <w:tcPr>
            <w:tcW w:w="2060" w:type="dxa"/>
            <w:tcBorders>
              <w:top w:val="nil"/>
              <w:left w:val="nil"/>
              <w:bottom w:val="single" w:sz="4" w:space="0" w:color="auto"/>
              <w:right w:val="single" w:sz="4" w:space="0" w:color="auto"/>
            </w:tcBorders>
            <w:shd w:val="clear" w:color="000000" w:fill="FFFFFF"/>
            <w:vAlign w:val="center"/>
            <w:hideMark/>
          </w:tcPr>
          <w:p w14:paraId="1E96F1D6"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22.05</w:t>
            </w:r>
          </w:p>
        </w:tc>
      </w:tr>
      <w:tr w:rsidR="008A442D" w:rsidRPr="00E619C8" w14:paraId="65C81750" w14:textId="77777777" w:rsidTr="007F3E4C">
        <w:trPr>
          <w:trHeight w:val="384"/>
          <w:jc w:val="center"/>
        </w:trPr>
        <w:tc>
          <w:tcPr>
            <w:tcW w:w="1075" w:type="dxa"/>
            <w:tcBorders>
              <w:top w:val="nil"/>
              <w:left w:val="single" w:sz="4" w:space="0" w:color="auto"/>
              <w:bottom w:val="single" w:sz="4" w:space="0" w:color="auto"/>
              <w:right w:val="single" w:sz="4" w:space="0" w:color="auto"/>
            </w:tcBorders>
            <w:shd w:val="clear" w:color="000000" w:fill="FFFFFF"/>
            <w:noWrap/>
            <w:vAlign w:val="center"/>
            <w:hideMark/>
          </w:tcPr>
          <w:p w14:paraId="64267315"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10</w:t>
            </w:r>
          </w:p>
        </w:tc>
        <w:tc>
          <w:tcPr>
            <w:tcW w:w="4835" w:type="dxa"/>
            <w:tcBorders>
              <w:top w:val="nil"/>
              <w:left w:val="nil"/>
              <w:bottom w:val="single" w:sz="4" w:space="0" w:color="auto"/>
              <w:right w:val="single" w:sz="4" w:space="0" w:color="auto"/>
            </w:tcBorders>
            <w:shd w:val="clear" w:color="000000" w:fill="FFFFFF"/>
            <w:vAlign w:val="center"/>
            <w:hideMark/>
          </w:tcPr>
          <w:p w14:paraId="3219CFE9"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Koperasi Usaha Kecil dan Menengah</w:t>
            </w:r>
          </w:p>
        </w:tc>
        <w:tc>
          <w:tcPr>
            <w:tcW w:w="2060" w:type="dxa"/>
            <w:tcBorders>
              <w:top w:val="nil"/>
              <w:left w:val="nil"/>
              <w:bottom w:val="single" w:sz="4" w:space="0" w:color="auto"/>
              <w:right w:val="single" w:sz="4" w:space="0" w:color="auto"/>
            </w:tcBorders>
            <w:shd w:val="clear" w:color="000000" w:fill="FFFFFF"/>
            <w:vAlign w:val="center"/>
            <w:hideMark/>
          </w:tcPr>
          <w:p w14:paraId="2349EAF9"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22.05</w:t>
            </w:r>
          </w:p>
        </w:tc>
      </w:tr>
      <w:tr w:rsidR="008A442D" w:rsidRPr="00E619C8" w14:paraId="52277D6D" w14:textId="77777777" w:rsidTr="007F3E4C">
        <w:trPr>
          <w:trHeight w:val="384"/>
          <w:jc w:val="center"/>
        </w:trPr>
        <w:tc>
          <w:tcPr>
            <w:tcW w:w="1075" w:type="dxa"/>
            <w:tcBorders>
              <w:top w:val="nil"/>
              <w:left w:val="single" w:sz="4" w:space="0" w:color="auto"/>
              <w:bottom w:val="single" w:sz="4" w:space="0" w:color="auto"/>
              <w:right w:val="single" w:sz="4" w:space="0" w:color="auto"/>
            </w:tcBorders>
            <w:shd w:val="clear" w:color="000000" w:fill="FFFFFF"/>
            <w:noWrap/>
            <w:vAlign w:val="center"/>
            <w:hideMark/>
          </w:tcPr>
          <w:p w14:paraId="4833557E"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11</w:t>
            </w:r>
          </w:p>
        </w:tc>
        <w:tc>
          <w:tcPr>
            <w:tcW w:w="4835" w:type="dxa"/>
            <w:tcBorders>
              <w:top w:val="nil"/>
              <w:left w:val="nil"/>
              <w:bottom w:val="single" w:sz="4" w:space="0" w:color="auto"/>
              <w:right w:val="single" w:sz="4" w:space="0" w:color="auto"/>
            </w:tcBorders>
            <w:shd w:val="clear" w:color="000000" w:fill="FFFFFF"/>
            <w:vAlign w:val="center"/>
            <w:hideMark/>
          </w:tcPr>
          <w:p w14:paraId="74639F28"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Pariwisata</w:t>
            </w:r>
          </w:p>
        </w:tc>
        <w:tc>
          <w:tcPr>
            <w:tcW w:w="2060" w:type="dxa"/>
            <w:tcBorders>
              <w:top w:val="nil"/>
              <w:left w:val="nil"/>
              <w:bottom w:val="single" w:sz="4" w:space="0" w:color="auto"/>
              <w:right w:val="single" w:sz="4" w:space="0" w:color="auto"/>
            </w:tcBorders>
            <w:shd w:val="clear" w:color="000000" w:fill="FFFFFF"/>
            <w:vAlign w:val="center"/>
            <w:hideMark/>
          </w:tcPr>
          <w:p w14:paraId="2CDDC050"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22.05</w:t>
            </w:r>
          </w:p>
        </w:tc>
      </w:tr>
      <w:tr w:rsidR="008A442D" w:rsidRPr="00E619C8" w14:paraId="4B1F68D4" w14:textId="77777777" w:rsidTr="007F3E4C">
        <w:trPr>
          <w:trHeight w:val="384"/>
          <w:jc w:val="center"/>
        </w:trPr>
        <w:tc>
          <w:tcPr>
            <w:tcW w:w="1075" w:type="dxa"/>
            <w:tcBorders>
              <w:top w:val="nil"/>
              <w:left w:val="single" w:sz="4" w:space="0" w:color="auto"/>
              <w:bottom w:val="single" w:sz="4" w:space="0" w:color="auto"/>
              <w:right w:val="single" w:sz="4" w:space="0" w:color="auto"/>
            </w:tcBorders>
            <w:shd w:val="clear" w:color="000000" w:fill="FFFFFF"/>
            <w:noWrap/>
            <w:vAlign w:val="center"/>
            <w:hideMark/>
          </w:tcPr>
          <w:p w14:paraId="5003998F"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12</w:t>
            </w:r>
          </w:p>
        </w:tc>
        <w:tc>
          <w:tcPr>
            <w:tcW w:w="4835" w:type="dxa"/>
            <w:tcBorders>
              <w:top w:val="nil"/>
              <w:left w:val="nil"/>
              <w:bottom w:val="single" w:sz="4" w:space="0" w:color="auto"/>
              <w:right w:val="single" w:sz="4" w:space="0" w:color="auto"/>
            </w:tcBorders>
            <w:shd w:val="clear" w:color="000000" w:fill="FFFFFF"/>
            <w:vAlign w:val="center"/>
            <w:hideMark/>
          </w:tcPr>
          <w:p w14:paraId="3526F06C"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Sekretariat Dewan Perwakilan Rakyat Daerah</w:t>
            </w:r>
          </w:p>
        </w:tc>
        <w:tc>
          <w:tcPr>
            <w:tcW w:w="2060" w:type="dxa"/>
            <w:tcBorders>
              <w:top w:val="nil"/>
              <w:left w:val="nil"/>
              <w:bottom w:val="single" w:sz="4" w:space="0" w:color="auto"/>
              <w:right w:val="single" w:sz="4" w:space="0" w:color="auto"/>
            </w:tcBorders>
            <w:shd w:val="clear" w:color="000000" w:fill="FFFFFF"/>
            <w:vAlign w:val="center"/>
            <w:hideMark/>
          </w:tcPr>
          <w:p w14:paraId="31E2212C"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20.35</w:t>
            </w:r>
          </w:p>
        </w:tc>
      </w:tr>
      <w:tr w:rsidR="008A442D" w:rsidRPr="00E619C8" w14:paraId="14316071" w14:textId="77777777" w:rsidTr="007F3E4C">
        <w:trPr>
          <w:trHeight w:val="372"/>
          <w:jc w:val="center"/>
        </w:trPr>
        <w:tc>
          <w:tcPr>
            <w:tcW w:w="1075" w:type="dxa"/>
            <w:tcBorders>
              <w:top w:val="nil"/>
              <w:left w:val="single" w:sz="4" w:space="0" w:color="auto"/>
              <w:bottom w:val="single" w:sz="4" w:space="0" w:color="auto"/>
              <w:right w:val="single" w:sz="4" w:space="0" w:color="auto"/>
            </w:tcBorders>
            <w:shd w:val="clear" w:color="000000" w:fill="FFFFFF"/>
            <w:noWrap/>
            <w:vAlign w:val="center"/>
            <w:hideMark/>
          </w:tcPr>
          <w:p w14:paraId="0F0570AC"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13</w:t>
            </w:r>
          </w:p>
        </w:tc>
        <w:tc>
          <w:tcPr>
            <w:tcW w:w="4835" w:type="dxa"/>
            <w:tcBorders>
              <w:top w:val="nil"/>
              <w:left w:val="nil"/>
              <w:bottom w:val="single" w:sz="4" w:space="0" w:color="auto"/>
              <w:right w:val="single" w:sz="4" w:space="0" w:color="auto"/>
            </w:tcBorders>
            <w:shd w:val="clear" w:color="000000" w:fill="FFFFFF"/>
            <w:vAlign w:val="center"/>
            <w:hideMark/>
          </w:tcPr>
          <w:p w14:paraId="5EC0404A"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Perindustrian</w:t>
            </w:r>
          </w:p>
        </w:tc>
        <w:tc>
          <w:tcPr>
            <w:tcW w:w="2060" w:type="dxa"/>
            <w:tcBorders>
              <w:top w:val="nil"/>
              <w:left w:val="nil"/>
              <w:bottom w:val="single" w:sz="4" w:space="0" w:color="auto"/>
              <w:right w:val="single" w:sz="4" w:space="0" w:color="auto"/>
            </w:tcBorders>
            <w:shd w:val="clear" w:color="000000" w:fill="FFFFFF"/>
            <w:vAlign w:val="center"/>
            <w:hideMark/>
          </w:tcPr>
          <w:p w14:paraId="106F2D81"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16.8</w:t>
            </w:r>
          </w:p>
        </w:tc>
      </w:tr>
      <w:tr w:rsidR="008A442D" w:rsidRPr="00E619C8" w14:paraId="29A4AF4D" w14:textId="77777777" w:rsidTr="007F3E4C">
        <w:trPr>
          <w:trHeight w:val="372"/>
          <w:jc w:val="center"/>
        </w:trPr>
        <w:tc>
          <w:tcPr>
            <w:tcW w:w="1075" w:type="dxa"/>
            <w:tcBorders>
              <w:top w:val="nil"/>
              <w:left w:val="single" w:sz="4" w:space="0" w:color="auto"/>
              <w:bottom w:val="single" w:sz="4" w:space="0" w:color="auto"/>
              <w:right w:val="single" w:sz="4" w:space="0" w:color="auto"/>
            </w:tcBorders>
            <w:shd w:val="clear" w:color="000000" w:fill="FFFFFF"/>
            <w:noWrap/>
            <w:vAlign w:val="center"/>
            <w:hideMark/>
          </w:tcPr>
          <w:p w14:paraId="454D99D4"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14</w:t>
            </w:r>
          </w:p>
        </w:tc>
        <w:tc>
          <w:tcPr>
            <w:tcW w:w="4835" w:type="dxa"/>
            <w:tcBorders>
              <w:top w:val="nil"/>
              <w:left w:val="nil"/>
              <w:bottom w:val="single" w:sz="4" w:space="0" w:color="auto"/>
              <w:right w:val="single" w:sz="4" w:space="0" w:color="auto"/>
            </w:tcBorders>
            <w:shd w:val="clear" w:color="000000" w:fill="FFFFFF"/>
            <w:vAlign w:val="center"/>
            <w:hideMark/>
          </w:tcPr>
          <w:p w14:paraId="4D133E7E"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Badan Pengelolaan Pendapatan Daerah</w:t>
            </w:r>
          </w:p>
        </w:tc>
        <w:tc>
          <w:tcPr>
            <w:tcW w:w="2060" w:type="dxa"/>
            <w:tcBorders>
              <w:top w:val="nil"/>
              <w:left w:val="nil"/>
              <w:bottom w:val="single" w:sz="4" w:space="0" w:color="auto"/>
              <w:right w:val="single" w:sz="4" w:space="0" w:color="auto"/>
            </w:tcBorders>
            <w:shd w:val="clear" w:color="000000" w:fill="FFFFFF"/>
            <w:vAlign w:val="center"/>
            <w:hideMark/>
          </w:tcPr>
          <w:p w14:paraId="765157DD"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11.7</w:t>
            </w:r>
          </w:p>
        </w:tc>
      </w:tr>
      <w:tr w:rsidR="008A442D" w:rsidRPr="00E619C8" w14:paraId="0A6AEEC6" w14:textId="77777777" w:rsidTr="007F3E4C">
        <w:trPr>
          <w:trHeight w:val="384"/>
          <w:jc w:val="center"/>
        </w:trPr>
        <w:tc>
          <w:tcPr>
            <w:tcW w:w="1075" w:type="dxa"/>
            <w:tcBorders>
              <w:top w:val="nil"/>
              <w:left w:val="single" w:sz="4" w:space="0" w:color="auto"/>
              <w:bottom w:val="single" w:sz="4" w:space="0" w:color="auto"/>
              <w:right w:val="single" w:sz="4" w:space="0" w:color="auto"/>
            </w:tcBorders>
            <w:shd w:val="clear" w:color="000000" w:fill="FFFFFF"/>
            <w:noWrap/>
            <w:vAlign w:val="center"/>
            <w:hideMark/>
          </w:tcPr>
          <w:p w14:paraId="2DE5D3BF"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15</w:t>
            </w:r>
          </w:p>
        </w:tc>
        <w:tc>
          <w:tcPr>
            <w:tcW w:w="4835" w:type="dxa"/>
            <w:tcBorders>
              <w:top w:val="nil"/>
              <w:left w:val="nil"/>
              <w:bottom w:val="single" w:sz="4" w:space="0" w:color="auto"/>
              <w:right w:val="single" w:sz="4" w:space="0" w:color="auto"/>
            </w:tcBorders>
            <w:shd w:val="clear" w:color="000000" w:fill="FFFFFF"/>
            <w:vAlign w:val="center"/>
            <w:hideMark/>
          </w:tcPr>
          <w:p w14:paraId="64F917C2"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Perpustakaan dan Kearsipan</w:t>
            </w:r>
          </w:p>
        </w:tc>
        <w:tc>
          <w:tcPr>
            <w:tcW w:w="2060" w:type="dxa"/>
            <w:tcBorders>
              <w:top w:val="nil"/>
              <w:left w:val="nil"/>
              <w:bottom w:val="single" w:sz="4" w:space="0" w:color="auto"/>
              <w:right w:val="single" w:sz="4" w:space="0" w:color="auto"/>
            </w:tcBorders>
            <w:shd w:val="clear" w:color="000000" w:fill="FFFFFF"/>
            <w:vAlign w:val="center"/>
            <w:hideMark/>
          </w:tcPr>
          <w:p w14:paraId="4311515B"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9.9</w:t>
            </w:r>
          </w:p>
        </w:tc>
      </w:tr>
      <w:tr w:rsidR="008A442D" w:rsidRPr="00E619C8" w14:paraId="144F7C89" w14:textId="77777777" w:rsidTr="007F3E4C">
        <w:trPr>
          <w:trHeight w:val="384"/>
          <w:jc w:val="center"/>
        </w:trPr>
        <w:tc>
          <w:tcPr>
            <w:tcW w:w="1075" w:type="dxa"/>
            <w:tcBorders>
              <w:top w:val="nil"/>
              <w:left w:val="single" w:sz="4" w:space="0" w:color="auto"/>
              <w:bottom w:val="single" w:sz="4" w:space="0" w:color="auto"/>
              <w:right w:val="single" w:sz="4" w:space="0" w:color="auto"/>
            </w:tcBorders>
            <w:shd w:val="clear" w:color="000000" w:fill="FFFFFF"/>
            <w:noWrap/>
            <w:vAlign w:val="center"/>
            <w:hideMark/>
          </w:tcPr>
          <w:p w14:paraId="4356C5D2"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16</w:t>
            </w:r>
          </w:p>
        </w:tc>
        <w:tc>
          <w:tcPr>
            <w:tcW w:w="4835" w:type="dxa"/>
            <w:tcBorders>
              <w:top w:val="nil"/>
              <w:left w:val="nil"/>
              <w:bottom w:val="single" w:sz="4" w:space="0" w:color="auto"/>
              <w:right w:val="single" w:sz="4" w:space="0" w:color="auto"/>
            </w:tcBorders>
            <w:shd w:val="clear" w:color="000000" w:fill="FFFFFF"/>
            <w:vAlign w:val="center"/>
            <w:hideMark/>
          </w:tcPr>
          <w:p w14:paraId="72EFE35A"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Pekerjaan Umum dan Penataan Ruang (Bidang Cipta Karya)</w:t>
            </w:r>
          </w:p>
        </w:tc>
        <w:tc>
          <w:tcPr>
            <w:tcW w:w="2060" w:type="dxa"/>
            <w:tcBorders>
              <w:top w:val="nil"/>
              <w:left w:val="nil"/>
              <w:bottom w:val="single" w:sz="4" w:space="0" w:color="auto"/>
              <w:right w:val="single" w:sz="4" w:space="0" w:color="auto"/>
            </w:tcBorders>
            <w:shd w:val="clear" w:color="000000" w:fill="FFFFFF"/>
            <w:vAlign w:val="center"/>
            <w:hideMark/>
          </w:tcPr>
          <w:p w14:paraId="77F1DA45"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9.6</w:t>
            </w:r>
          </w:p>
        </w:tc>
      </w:tr>
      <w:tr w:rsidR="008A442D" w:rsidRPr="00E619C8" w14:paraId="151B6E82" w14:textId="77777777" w:rsidTr="007F3E4C">
        <w:trPr>
          <w:trHeight w:val="384"/>
          <w:jc w:val="center"/>
        </w:trPr>
        <w:tc>
          <w:tcPr>
            <w:tcW w:w="1075" w:type="dxa"/>
            <w:tcBorders>
              <w:top w:val="nil"/>
              <w:left w:val="single" w:sz="4" w:space="0" w:color="auto"/>
              <w:bottom w:val="single" w:sz="4" w:space="0" w:color="auto"/>
              <w:right w:val="single" w:sz="4" w:space="0" w:color="auto"/>
            </w:tcBorders>
            <w:shd w:val="clear" w:color="000000" w:fill="FFFFFF"/>
            <w:noWrap/>
            <w:vAlign w:val="center"/>
            <w:hideMark/>
          </w:tcPr>
          <w:p w14:paraId="486943CC"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17</w:t>
            </w:r>
          </w:p>
        </w:tc>
        <w:tc>
          <w:tcPr>
            <w:tcW w:w="4835" w:type="dxa"/>
            <w:tcBorders>
              <w:top w:val="nil"/>
              <w:left w:val="nil"/>
              <w:bottom w:val="single" w:sz="4" w:space="0" w:color="auto"/>
              <w:right w:val="single" w:sz="4" w:space="0" w:color="auto"/>
            </w:tcBorders>
            <w:shd w:val="clear" w:color="000000" w:fill="FFFFFF"/>
            <w:vAlign w:val="center"/>
            <w:hideMark/>
          </w:tcPr>
          <w:p w14:paraId="095AD383"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Rumah Sakit H. L. Manambai Abdul Kadir</w:t>
            </w:r>
          </w:p>
        </w:tc>
        <w:tc>
          <w:tcPr>
            <w:tcW w:w="2060" w:type="dxa"/>
            <w:tcBorders>
              <w:top w:val="nil"/>
              <w:left w:val="nil"/>
              <w:bottom w:val="single" w:sz="4" w:space="0" w:color="auto"/>
              <w:right w:val="single" w:sz="4" w:space="0" w:color="auto"/>
            </w:tcBorders>
            <w:shd w:val="clear" w:color="000000" w:fill="FFFFFF"/>
            <w:vAlign w:val="center"/>
            <w:hideMark/>
          </w:tcPr>
          <w:p w14:paraId="7C70F95D"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9.0</w:t>
            </w:r>
          </w:p>
        </w:tc>
      </w:tr>
      <w:tr w:rsidR="008A442D" w:rsidRPr="00E619C8" w14:paraId="07D70485" w14:textId="77777777" w:rsidTr="007F3E4C">
        <w:trPr>
          <w:trHeight w:val="384"/>
          <w:jc w:val="center"/>
        </w:trPr>
        <w:tc>
          <w:tcPr>
            <w:tcW w:w="1075" w:type="dxa"/>
            <w:tcBorders>
              <w:top w:val="nil"/>
              <w:left w:val="single" w:sz="4" w:space="0" w:color="auto"/>
              <w:bottom w:val="single" w:sz="4" w:space="0" w:color="auto"/>
              <w:right w:val="single" w:sz="4" w:space="0" w:color="auto"/>
            </w:tcBorders>
            <w:shd w:val="clear" w:color="000000" w:fill="FFFFFF"/>
            <w:noWrap/>
            <w:vAlign w:val="center"/>
            <w:hideMark/>
          </w:tcPr>
          <w:p w14:paraId="586B1F4E"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18</w:t>
            </w:r>
          </w:p>
        </w:tc>
        <w:tc>
          <w:tcPr>
            <w:tcW w:w="4835" w:type="dxa"/>
            <w:tcBorders>
              <w:top w:val="nil"/>
              <w:left w:val="nil"/>
              <w:bottom w:val="single" w:sz="4" w:space="0" w:color="auto"/>
              <w:right w:val="single" w:sz="4" w:space="0" w:color="auto"/>
            </w:tcBorders>
            <w:shd w:val="clear" w:color="000000" w:fill="FFFFFF"/>
            <w:vAlign w:val="center"/>
            <w:hideMark/>
          </w:tcPr>
          <w:p w14:paraId="209CE860"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Dinas Perumahan dan Permukiman</w:t>
            </w:r>
          </w:p>
        </w:tc>
        <w:tc>
          <w:tcPr>
            <w:tcW w:w="2060" w:type="dxa"/>
            <w:tcBorders>
              <w:top w:val="nil"/>
              <w:left w:val="nil"/>
              <w:bottom w:val="single" w:sz="4" w:space="0" w:color="auto"/>
              <w:right w:val="single" w:sz="4" w:space="0" w:color="auto"/>
            </w:tcBorders>
            <w:shd w:val="clear" w:color="000000" w:fill="FFFFFF"/>
            <w:vAlign w:val="center"/>
            <w:hideMark/>
          </w:tcPr>
          <w:p w14:paraId="3E8B7A13"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3.3</w:t>
            </w:r>
          </w:p>
        </w:tc>
      </w:tr>
      <w:tr w:rsidR="008A442D" w:rsidRPr="00E619C8" w14:paraId="374F1999" w14:textId="77777777" w:rsidTr="007F3E4C">
        <w:trPr>
          <w:trHeight w:val="384"/>
          <w:jc w:val="center"/>
        </w:trPr>
        <w:tc>
          <w:tcPr>
            <w:tcW w:w="1075" w:type="dxa"/>
            <w:tcBorders>
              <w:top w:val="nil"/>
              <w:left w:val="single" w:sz="4" w:space="0" w:color="auto"/>
              <w:bottom w:val="single" w:sz="4" w:space="0" w:color="auto"/>
              <w:right w:val="single" w:sz="4" w:space="0" w:color="auto"/>
            </w:tcBorders>
            <w:shd w:val="clear" w:color="000000" w:fill="FFFFFF"/>
            <w:noWrap/>
            <w:vAlign w:val="center"/>
            <w:hideMark/>
          </w:tcPr>
          <w:p w14:paraId="5ED51F15"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19</w:t>
            </w:r>
          </w:p>
        </w:tc>
        <w:tc>
          <w:tcPr>
            <w:tcW w:w="4835" w:type="dxa"/>
            <w:tcBorders>
              <w:top w:val="nil"/>
              <w:left w:val="nil"/>
              <w:bottom w:val="single" w:sz="4" w:space="0" w:color="auto"/>
              <w:right w:val="single" w:sz="4" w:space="0" w:color="auto"/>
            </w:tcBorders>
            <w:shd w:val="clear" w:color="000000" w:fill="FFFFFF"/>
            <w:vAlign w:val="center"/>
            <w:hideMark/>
          </w:tcPr>
          <w:p w14:paraId="31164E62" w14:textId="77777777" w:rsidR="008A442D" w:rsidRPr="00E619C8" w:rsidRDefault="008A442D" w:rsidP="004819ED">
            <w:pPr>
              <w:rPr>
                <w:rFonts w:ascii="Arial" w:hAnsi="Arial" w:cs="Arial"/>
                <w:color w:val="000000"/>
                <w:sz w:val="22"/>
                <w:szCs w:val="22"/>
              </w:rPr>
            </w:pPr>
            <w:r w:rsidRPr="00E619C8">
              <w:rPr>
                <w:rFonts w:ascii="Arial" w:hAnsi="Arial" w:cs="Arial"/>
                <w:color w:val="000000"/>
                <w:sz w:val="22"/>
                <w:szCs w:val="22"/>
              </w:rPr>
              <w:t>RSUD NTB</w:t>
            </w:r>
          </w:p>
        </w:tc>
        <w:tc>
          <w:tcPr>
            <w:tcW w:w="2060" w:type="dxa"/>
            <w:tcBorders>
              <w:top w:val="nil"/>
              <w:left w:val="nil"/>
              <w:bottom w:val="single" w:sz="4" w:space="0" w:color="auto"/>
              <w:right w:val="single" w:sz="4" w:space="0" w:color="auto"/>
            </w:tcBorders>
            <w:shd w:val="clear" w:color="000000" w:fill="FFFFFF"/>
            <w:vAlign w:val="center"/>
            <w:hideMark/>
          </w:tcPr>
          <w:p w14:paraId="3FC9D2B4"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0</w:t>
            </w:r>
          </w:p>
        </w:tc>
      </w:tr>
    </w:tbl>
    <w:p w14:paraId="11139219" w14:textId="2D5E9451" w:rsidR="002033A5" w:rsidRPr="00E619C8" w:rsidRDefault="00E113EC">
      <w:pPr>
        <w:spacing w:before="240" w:after="240" w:line="300" w:lineRule="auto"/>
        <w:jc w:val="center"/>
        <w:rPr>
          <w:rFonts w:ascii="Arial" w:eastAsia="Arial" w:hAnsi="Arial" w:cs="Arial"/>
          <w:sz w:val="20"/>
          <w:szCs w:val="20"/>
        </w:rPr>
      </w:pPr>
      <w:r w:rsidRPr="00E619C8">
        <w:rPr>
          <w:rFonts w:ascii="Arial" w:eastAsia="Arial" w:hAnsi="Arial" w:cs="Arial"/>
          <w:sz w:val="20"/>
          <w:szCs w:val="20"/>
        </w:rPr>
        <w:t xml:space="preserve">Table </w:t>
      </w:r>
      <w:r w:rsidR="00DD0F1A" w:rsidRPr="00E619C8">
        <w:rPr>
          <w:rFonts w:ascii="Arial" w:eastAsia="Arial" w:hAnsi="Arial" w:cs="Arial"/>
          <w:sz w:val="20"/>
          <w:szCs w:val="20"/>
        </w:rPr>
        <w:t>16</w:t>
      </w:r>
      <w:r w:rsidRPr="00E619C8">
        <w:rPr>
          <w:rFonts w:ascii="Arial" w:eastAsia="Arial" w:hAnsi="Arial" w:cs="Arial"/>
          <w:sz w:val="20"/>
          <w:szCs w:val="20"/>
        </w:rPr>
        <w:t>. Sub-Ranking of Top Procuring Entities in Dimension 3 (Citizen participation)</w:t>
      </w:r>
    </w:p>
    <w:p w14:paraId="36D889AC" w14:textId="7777777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For Dimension 3 (Citizen Participation), Public Works and Spatial Planning – Bina Marga leads (75.90), followed by Agriculture and Plantation (69.05) and Mandalika Hospital (67.10). The ranking shows a very wide performance spread, with several entities scoring low and one entity scoring zero. This suggests that citizen participation remains the most uneven area across PEs, and that many institutions still lack structured mechanisms to inform, consult, and involve citizens, or do not yet enable citizens to effectively use disclosed information.</w:t>
      </w:r>
    </w:p>
    <w:tbl>
      <w:tblPr>
        <w:tblW w:w="8145" w:type="dxa"/>
        <w:jc w:val="center"/>
        <w:tblLook w:val="04A0" w:firstRow="1" w:lastRow="0" w:firstColumn="1" w:lastColumn="0" w:noHBand="0" w:noVBand="1"/>
      </w:tblPr>
      <w:tblGrid>
        <w:gridCol w:w="1255"/>
        <w:gridCol w:w="4830"/>
        <w:gridCol w:w="2060"/>
      </w:tblGrid>
      <w:tr w:rsidR="008A442D" w:rsidRPr="00E619C8" w14:paraId="4C2DC2E5" w14:textId="77777777" w:rsidTr="007F3E4C">
        <w:trPr>
          <w:trHeight w:val="888"/>
          <w:jc w:val="center"/>
        </w:trPr>
        <w:tc>
          <w:tcPr>
            <w:tcW w:w="1255"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151A586E" w14:textId="77777777" w:rsidR="008A442D" w:rsidRPr="00E619C8" w:rsidRDefault="008A442D" w:rsidP="007F3E4C">
            <w:pPr>
              <w:spacing w:line="360" w:lineRule="auto"/>
              <w:jc w:val="center"/>
              <w:rPr>
                <w:rFonts w:ascii="Arial" w:hAnsi="Arial" w:cs="Arial"/>
                <w:b/>
                <w:bCs/>
                <w:color w:val="FFFFFF"/>
                <w:sz w:val="22"/>
                <w:szCs w:val="22"/>
              </w:rPr>
            </w:pPr>
            <w:r w:rsidRPr="00E619C8">
              <w:rPr>
                <w:rFonts w:ascii="Arial" w:hAnsi="Arial" w:cs="Arial"/>
                <w:b/>
                <w:bCs/>
                <w:color w:val="FFFFFF"/>
                <w:sz w:val="22"/>
                <w:szCs w:val="22"/>
              </w:rPr>
              <w:t>Rank</w:t>
            </w:r>
          </w:p>
        </w:tc>
        <w:tc>
          <w:tcPr>
            <w:tcW w:w="4830" w:type="dxa"/>
            <w:tcBorders>
              <w:top w:val="single" w:sz="4" w:space="0" w:color="auto"/>
              <w:left w:val="nil"/>
              <w:bottom w:val="single" w:sz="4" w:space="0" w:color="auto"/>
              <w:right w:val="single" w:sz="4" w:space="0" w:color="auto"/>
            </w:tcBorders>
            <w:shd w:val="clear" w:color="auto" w:fill="C00000"/>
            <w:vAlign w:val="center"/>
            <w:hideMark/>
          </w:tcPr>
          <w:p w14:paraId="2EBF3467" w14:textId="77777777" w:rsidR="008A442D" w:rsidRPr="00E619C8" w:rsidRDefault="008A442D" w:rsidP="007F3E4C">
            <w:pPr>
              <w:spacing w:line="360" w:lineRule="auto"/>
              <w:jc w:val="center"/>
              <w:rPr>
                <w:rFonts w:ascii="Arial" w:hAnsi="Arial" w:cs="Arial"/>
                <w:b/>
                <w:bCs/>
                <w:color w:val="FFFFFF"/>
                <w:sz w:val="22"/>
                <w:szCs w:val="22"/>
              </w:rPr>
            </w:pPr>
            <w:r w:rsidRPr="00E619C8">
              <w:rPr>
                <w:rFonts w:ascii="Arial" w:hAnsi="Arial" w:cs="Arial"/>
                <w:b/>
                <w:bCs/>
                <w:color w:val="FFFFFF"/>
                <w:sz w:val="22"/>
                <w:szCs w:val="22"/>
              </w:rPr>
              <w:t>Procuring Entity</w:t>
            </w:r>
          </w:p>
        </w:tc>
        <w:tc>
          <w:tcPr>
            <w:tcW w:w="2060" w:type="dxa"/>
            <w:tcBorders>
              <w:top w:val="single" w:sz="4" w:space="0" w:color="auto"/>
              <w:left w:val="nil"/>
              <w:bottom w:val="single" w:sz="4" w:space="0" w:color="auto"/>
              <w:right w:val="single" w:sz="4" w:space="0" w:color="auto"/>
            </w:tcBorders>
            <w:shd w:val="clear" w:color="auto" w:fill="C00000"/>
            <w:vAlign w:val="center"/>
            <w:hideMark/>
          </w:tcPr>
          <w:p w14:paraId="784A0EFC" w14:textId="77777777" w:rsidR="008A442D" w:rsidRPr="00E619C8" w:rsidRDefault="008A442D" w:rsidP="007F3E4C">
            <w:pPr>
              <w:jc w:val="center"/>
              <w:rPr>
                <w:rFonts w:ascii="Arial" w:hAnsi="Arial" w:cs="Arial"/>
                <w:b/>
                <w:bCs/>
                <w:color w:val="FFFFFF"/>
                <w:sz w:val="22"/>
                <w:szCs w:val="22"/>
              </w:rPr>
            </w:pPr>
            <w:r w:rsidRPr="00E619C8">
              <w:rPr>
                <w:rFonts w:ascii="Arial" w:hAnsi="Arial" w:cs="Arial"/>
                <w:b/>
                <w:bCs/>
                <w:color w:val="FFFFFF"/>
                <w:sz w:val="22"/>
                <w:szCs w:val="22"/>
              </w:rPr>
              <w:t>DIMENSION 4 Information disclosure</w:t>
            </w:r>
          </w:p>
        </w:tc>
      </w:tr>
      <w:tr w:rsidR="008A442D" w:rsidRPr="00E619C8" w14:paraId="7D575D4E" w14:textId="77777777" w:rsidTr="008A442D">
        <w:trPr>
          <w:trHeight w:val="288"/>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129AB405"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w:t>
            </w:r>
          </w:p>
        </w:tc>
        <w:tc>
          <w:tcPr>
            <w:tcW w:w="4830" w:type="dxa"/>
            <w:tcBorders>
              <w:top w:val="nil"/>
              <w:left w:val="nil"/>
              <w:bottom w:val="single" w:sz="4" w:space="0" w:color="auto"/>
              <w:right w:val="single" w:sz="4" w:space="0" w:color="auto"/>
            </w:tcBorders>
            <w:shd w:val="clear" w:color="000000" w:fill="FFFFFF"/>
            <w:vAlign w:val="center"/>
            <w:hideMark/>
          </w:tcPr>
          <w:p w14:paraId="53F8DBB6" w14:textId="77777777" w:rsidR="008A442D" w:rsidRPr="00E619C8" w:rsidRDefault="008A442D" w:rsidP="00B21013">
            <w:pPr>
              <w:rPr>
                <w:rFonts w:ascii="Arial" w:hAnsi="Arial" w:cs="Arial"/>
                <w:color w:val="000000"/>
                <w:sz w:val="22"/>
                <w:szCs w:val="22"/>
              </w:rPr>
            </w:pPr>
            <w:r w:rsidRPr="00E619C8">
              <w:rPr>
                <w:rFonts w:ascii="Arial" w:hAnsi="Arial" w:cs="Arial"/>
                <w:color w:val="000000"/>
                <w:sz w:val="22"/>
                <w:szCs w:val="22"/>
              </w:rPr>
              <w:t>Dinas Pendidikan dan Kebudayaan</w:t>
            </w:r>
          </w:p>
        </w:tc>
        <w:tc>
          <w:tcPr>
            <w:tcW w:w="2060" w:type="dxa"/>
            <w:tcBorders>
              <w:top w:val="nil"/>
              <w:left w:val="nil"/>
              <w:bottom w:val="single" w:sz="4" w:space="0" w:color="auto"/>
              <w:right w:val="single" w:sz="4" w:space="0" w:color="auto"/>
            </w:tcBorders>
            <w:shd w:val="clear" w:color="000000" w:fill="FFFFFF"/>
            <w:vAlign w:val="center"/>
            <w:hideMark/>
          </w:tcPr>
          <w:p w14:paraId="0D11C24B"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40.7</w:t>
            </w:r>
          </w:p>
        </w:tc>
      </w:tr>
      <w:tr w:rsidR="008A442D" w:rsidRPr="00E619C8" w14:paraId="7812B1B8" w14:textId="77777777" w:rsidTr="008A442D">
        <w:trPr>
          <w:trHeight w:val="384"/>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1BA38408"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2</w:t>
            </w:r>
          </w:p>
        </w:tc>
        <w:tc>
          <w:tcPr>
            <w:tcW w:w="4830" w:type="dxa"/>
            <w:tcBorders>
              <w:top w:val="nil"/>
              <w:left w:val="nil"/>
              <w:bottom w:val="single" w:sz="4" w:space="0" w:color="auto"/>
              <w:right w:val="single" w:sz="4" w:space="0" w:color="auto"/>
            </w:tcBorders>
            <w:shd w:val="clear" w:color="000000" w:fill="FFFFFF"/>
            <w:vAlign w:val="center"/>
            <w:hideMark/>
          </w:tcPr>
          <w:p w14:paraId="6B0CE2C6" w14:textId="77777777" w:rsidR="008A442D" w:rsidRPr="00E619C8" w:rsidRDefault="008A442D" w:rsidP="00B21013">
            <w:pPr>
              <w:rPr>
                <w:rFonts w:ascii="Arial" w:hAnsi="Arial" w:cs="Arial"/>
                <w:color w:val="000000"/>
                <w:sz w:val="22"/>
                <w:szCs w:val="22"/>
              </w:rPr>
            </w:pPr>
            <w:r w:rsidRPr="00E619C8">
              <w:rPr>
                <w:rFonts w:ascii="Arial" w:hAnsi="Arial" w:cs="Arial"/>
                <w:color w:val="000000"/>
                <w:sz w:val="22"/>
                <w:szCs w:val="22"/>
              </w:rPr>
              <w:t>Dinas Koperasi Usaha Kecil dan Menengah</w:t>
            </w:r>
          </w:p>
        </w:tc>
        <w:tc>
          <w:tcPr>
            <w:tcW w:w="2060" w:type="dxa"/>
            <w:tcBorders>
              <w:top w:val="nil"/>
              <w:left w:val="nil"/>
              <w:bottom w:val="single" w:sz="4" w:space="0" w:color="auto"/>
              <w:right w:val="single" w:sz="4" w:space="0" w:color="auto"/>
            </w:tcBorders>
            <w:shd w:val="clear" w:color="000000" w:fill="FFFFFF"/>
            <w:vAlign w:val="center"/>
            <w:hideMark/>
          </w:tcPr>
          <w:p w14:paraId="6864A4C9"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33.8</w:t>
            </w:r>
          </w:p>
        </w:tc>
      </w:tr>
      <w:tr w:rsidR="008A442D" w:rsidRPr="00E619C8" w14:paraId="61509E05" w14:textId="77777777" w:rsidTr="008A442D">
        <w:trPr>
          <w:trHeight w:val="384"/>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0038E5F8"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3</w:t>
            </w:r>
          </w:p>
        </w:tc>
        <w:tc>
          <w:tcPr>
            <w:tcW w:w="4830" w:type="dxa"/>
            <w:tcBorders>
              <w:top w:val="nil"/>
              <w:left w:val="nil"/>
              <w:bottom w:val="single" w:sz="4" w:space="0" w:color="auto"/>
              <w:right w:val="single" w:sz="4" w:space="0" w:color="auto"/>
            </w:tcBorders>
            <w:shd w:val="clear" w:color="000000" w:fill="FFFFFF"/>
            <w:vAlign w:val="center"/>
            <w:hideMark/>
          </w:tcPr>
          <w:p w14:paraId="21DB13F7" w14:textId="77777777" w:rsidR="008A442D" w:rsidRPr="00E619C8" w:rsidRDefault="008A442D" w:rsidP="00B21013">
            <w:pPr>
              <w:rPr>
                <w:rFonts w:ascii="Arial" w:hAnsi="Arial" w:cs="Arial"/>
                <w:color w:val="000000"/>
                <w:sz w:val="22"/>
                <w:szCs w:val="22"/>
              </w:rPr>
            </w:pPr>
            <w:r w:rsidRPr="00E619C8">
              <w:rPr>
                <w:rFonts w:ascii="Arial" w:hAnsi="Arial" w:cs="Arial"/>
                <w:color w:val="000000"/>
                <w:sz w:val="22"/>
                <w:szCs w:val="22"/>
              </w:rPr>
              <w:t>Dinas Pertanian dan Perkebunan</w:t>
            </w:r>
          </w:p>
        </w:tc>
        <w:tc>
          <w:tcPr>
            <w:tcW w:w="2060" w:type="dxa"/>
            <w:tcBorders>
              <w:top w:val="nil"/>
              <w:left w:val="nil"/>
              <w:bottom w:val="single" w:sz="4" w:space="0" w:color="auto"/>
              <w:right w:val="single" w:sz="4" w:space="0" w:color="auto"/>
            </w:tcBorders>
            <w:shd w:val="clear" w:color="000000" w:fill="FFFFFF"/>
            <w:vAlign w:val="center"/>
            <w:hideMark/>
          </w:tcPr>
          <w:p w14:paraId="6C99BF66"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31.8</w:t>
            </w:r>
          </w:p>
        </w:tc>
      </w:tr>
      <w:tr w:rsidR="008A442D" w:rsidRPr="00E619C8" w14:paraId="79ABF6AC" w14:textId="77777777" w:rsidTr="008A442D">
        <w:trPr>
          <w:trHeight w:val="288"/>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6CCB0A4B"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4</w:t>
            </w:r>
          </w:p>
        </w:tc>
        <w:tc>
          <w:tcPr>
            <w:tcW w:w="4830" w:type="dxa"/>
            <w:tcBorders>
              <w:top w:val="nil"/>
              <w:left w:val="nil"/>
              <w:bottom w:val="single" w:sz="4" w:space="0" w:color="auto"/>
              <w:right w:val="single" w:sz="4" w:space="0" w:color="auto"/>
            </w:tcBorders>
            <w:shd w:val="clear" w:color="000000" w:fill="FFFFFF"/>
            <w:vAlign w:val="center"/>
            <w:hideMark/>
          </w:tcPr>
          <w:p w14:paraId="4456CF57" w14:textId="77777777" w:rsidR="008A442D" w:rsidRPr="00E619C8" w:rsidRDefault="008A442D" w:rsidP="00B21013">
            <w:pPr>
              <w:rPr>
                <w:rFonts w:ascii="Arial" w:hAnsi="Arial" w:cs="Arial"/>
                <w:color w:val="000000"/>
                <w:sz w:val="22"/>
                <w:szCs w:val="22"/>
              </w:rPr>
            </w:pPr>
            <w:r w:rsidRPr="00E619C8">
              <w:rPr>
                <w:rFonts w:ascii="Arial" w:hAnsi="Arial" w:cs="Arial"/>
                <w:color w:val="000000"/>
                <w:sz w:val="22"/>
                <w:szCs w:val="22"/>
              </w:rPr>
              <w:t>Dinas Pariwisata</w:t>
            </w:r>
          </w:p>
        </w:tc>
        <w:tc>
          <w:tcPr>
            <w:tcW w:w="2060" w:type="dxa"/>
            <w:tcBorders>
              <w:top w:val="nil"/>
              <w:left w:val="nil"/>
              <w:bottom w:val="single" w:sz="4" w:space="0" w:color="auto"/>
              <w:right w:val="single" w:sz="4" w:space="0" w:color="auto"/>
            </w:tcBorders>
            <w:shd w:val="clear" w:color="000000" w:fill="FFFFFF"/>
            <w:vAlign w:val="center"/>
            <w:hideMark/>
          </w:tcPr>
          <w:p w14:paraId="515D0C41"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31.6</w:t>
            </w:r>
          </w:p>
        </w:tc>
      </w:tr>
      <w:tr w:rsidR="008A442D" w:rsidRPr="00E619C8" w14:paraId="38745329" w14:textId="77777777" w:rsidTr="008A442D">
        <w:trPr>
          <w:trHeight w:val="384"/>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55231540"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5</w:t>
            </w:r>
          </w:p>
        </w:tc>
        <w:tc>
          <w:tcPr>
            <w:tcW w:w="4830" w:type="dxa"/>
            <w:tcBorders>
              <w:top w:val="nil"/>
              <w:left w:val="nil"/>
              <w:bottom w:val="single" w:sz="4" w:space="0" w:color="auto"/>
              <w:right w:val="single" w:sz="4" w:space="0" w:color="auto"/>
            </w:tcBorders>
            <w:shd w:val="clear" w:color="000000" w:fill="FFFFFF"/>
            <w:vAlign w:val="center"/>
            <w:hideMark/>
          </w:tcPr>
          <w:p w14:paraId="3DF32053" w14:textId="77777777" w:rsidR="008A442D" w:rsidRPr="00E619C8" w:rsidRDefault="008A442D" w:rsidP="00B21013">
            <w:pPr>
              <w:rPr>
                <w:rFonts w:ascii="Arial" w:hAnsi="Arial" w:cs="Arial"/>
                <w:color w:val="000000"/>
                <w:sz w:val="22"/>
                <w:szCs w:val="22"/>
              </w:rPr>
            </w:pPr>
            <w:r w:rsidRPr="00E619C8">
              <w:rPr>
                <w:rFonts w:ascii="Arial" w:hAnsi="Arial" w:cs="Arial"/>
                <w:color w:val="000000"/>
                <w:sz w:val="22"/>
                <w:szCs w:val="22"/>
              </w:rPr>
              <w:t>Dinas Pekerjaan Umum dan Penataan Ruang (Bidang Bina Marga)</w:t>
            </w:r>
          </w:p>
        </w:tc>
        <w:tc>
          <w:tcPr>
            <w:tcW w:w="2060" w:type="dxa"/>
            <w:tcBorders>
              <w:top w:val="nil"/>
              <w:left w:val="nil"/>
              <w:bottom w:val="single" w:sz="4" w:space="0" w:color="auto"/>
              <w:right w:val="single" w:sz="4" w:space="0" w:color="auto"/>
            </w:tcBorders>
            <w:shd w:val="clear" w:color="000000" w:fill="FFFFFF"/>
            <w:vAlign w:val="center"/>
            <w:hideMark/>
          </w:tcPr>
          <w:p w14:paraId="332BF575"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31.57</w:t>
            </w:r>
          </w:p>
        </w:tc>
      </w:tr>
      <w:tr w:rsidR="008A442D" w:rsidRPr="00E619C8" w14:paraId="4A9C19D7" w14:textId="77777777" w:rsidTr="008A442D">
        <w:trPr>
          <w:trHeight w:val="384"/>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61A71493"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6</w:t>
            </w:r>
          </w:p>
        </w:tc>
        <w:tc>
          <w:tcPr>
            <w:tcW w:w="4830" w:type="dxa"/>
            <w:tcBorders>
              <w:top w:val="nil"/>
              <w:left w:val="nil"/>
              <w:bottom w:val="single" w:sz="4" w:space="0" w:color="auto"/>
              <w:right w:val="single" w:sz="4" w:space="0" w:color="auto"/>
            </w:tcBorders>
            <w:shd w:val="clear" w:color="000000" w:fill="FFFFFF"/>
            <w:vAlign w:val="center"/>
            <w:hideMark/>
          </w:tcPr>
          <w:p w14:paraId="61CD2C95" w14:textId="77777777" w:rsidR="008A442D" w:rsidRPr="00E619C8" w:rsidRDefault="008A442D" w:rsidP="00B21013">
            <w:pPr>
              <w:rPr>
                <w:rFonts w:ascii="Arial" w:hAnsi="Arial" w:cs="Arial"/>
                <w:color w:val="000000"/>
                <w:sz w:val="22"/>
                <w:szCs w:val="22"/>
              </w:rPr>
            </w:pPr>
            <w:r w:rsidRPr="00E619C8">
              <w:rPr>
                <w:rFonts w:ascii="Arial" w:hAnsi="Arial" w:cs="Arial"/>
                <w:color w:val="000000"/>
                <w:sz w:val="22"/>
                <w:szCs w:val="22"/>
              </w:rPr>
              <w:t>Rumah Sakit H. L. Manambai Abdul Kadir</w:t>
            </w:r>
          </w:p>
        </w:tc>
        <w:tc>
          <w:tcPr>
            <w:tcW w:w="2060" w:type="dxa"/>
            <w:tcBorders>
              <w:top w:val="nil"/>
              <w:left w:val="nil"/>
              <w:bottom w:val="single" w:sz="4" w:space="0" w:color="auto"/>
              <w:right w:val="single" w:sz="4" w:space="0" w:color="auto"/>
            </w:tcBorders>
            <w:shd w:val="clear" w:color="000000" w:fill="FFFFFF"/>
            <w:vAlign w:val="center"/>
            <w:hideMark/>
          </w:tcPr>
          <w:p w14:paraId="17344086"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30.55</w:t>
            </w:r>
          </w:p>
        </w:tc>
      </w:tr>
      <w:tr w:rsidR="008A442D" w:rsidRPr="00E619C8" w14:paraId="46459A70" w14:textId="77777777" w:rsidTr="008A442D">
        <w:trPr>
          <w:trHeight w:val="288"/>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619819AE"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7</w:t>
            </w:r>
          </w:p>
        </w:tc>
        <w:tc>
          <w:tcPr>
            <w:tcW w:w="4830" w:type="dxa"/>
            <w:tcBorders>
              <w:top w:val="nil"/>
              <w:left w:val="nil"/>
              <w:bottom w:val="single" w:sz="4" w:space="0" w:color="auto"/>
              <w:right w:val="single" w:sz="4" w:space="0" w:color="auto"/>
            </w:tcBorders>
            <w:shd w:val="clear" w:color="000000" w:fill="FFFFFF"/>
            <w:vAlign w:val="center"/>
            <w:hideMark/>
          </w:tcPr>
          <w:p w14:paraId="231E1A7B" w14:textId="77777777" w:rsidR="008A442D" w:rsidRPr="00E619C8" w:rsidRDefault="008A442D" w:rsidP="00B21013">
            <w:pPr>
              <w:rPr>
                <w:rFonts w:ascii="Arial" w:hAnsi="Arial" w:cs="Arial"/>
                <w:color w:val="000000"/>
                <w:sz w:val="22"/>
                <w:szCs w:val="22"/>
              </w:rPr>
            </w:pPr>
            <w:r w:rsidRPr="00E619C8">
              <w:rPr>
                <w:rFonts w:ascii="Arial" w:hAnsi="Arial" w:cs="Arial"/>
                <w:color w:val="000000"/>
                <w:sz w:val="22"/>
                <w:szCs w:val="22"/>
              </w:rPr>
              <w:t>Dinas Kelautan dan Perikanan</w:t>
            </w:r>
          </w:p>
        </w:tc>
        <w:tc>
          <w:tcPr>
            <w:tcW w:w="2060" w:type="dxa"/>
            <w:tcBorders>
              <w:top w:val="nil"/>
              <w:left w:val="nil"/>
              <w:bottom w:val="single" w:sz="4" w:space="0" w:color="auto"/>
              <w:right w:val="single" w:sz="4" w:space="0" w:color="auto"/>
            </w:tcBorders>
            <w:shd w:val="clear" w:color="000000" w:fill="FFFFFF"/>
            <w:vAlign w:val="center"/>
            <w:hideMark/>
          </w:tcPr>
          <w:p w14:paraId="54EA943C"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29.8</w:t>
            </w:r>
          </w:p>
        </w:tc>
      </w:tr>
      <w:tr w:rsidR="008A442D" w:rsidRPr="00E619C8" w14:paraId="249C5DBE" w14:textId="77777777" w:rsidTr="008A442D">
        <w:trPr>
          <w:trHeight w:val="288"/>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77428FF4"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8</w:t>
            </w:r>
          </w:p>
        </w:tc>
        <w:tc>
          <w:tcPr>
            <w:tcW w:w="4830" w:type="dxa"/>
            <w:tcBorders>
              <w:top w:val="nil"/>
              <w:left w:val="nil"/>
              <w:bottom w:val="single" w:sz="4" w:space="0" w:color="auto"/>
              <w:right w:val="single" w:sz="4" w:space="0" w:color="auto"/>
            </w:tcBorders>
            <w:shd w:val="clear" w:color="000000" w:fill="FFFFFF"/>
            <w:vAlign w:val="center"/>
            <w:hideMark/>
          </w:tcPr>
          <w:p w14:paraId="4F99789A" w14:textId="77777777" w:rsidR="008A442D" w:rsidRPr="00E619C8" w:rsidRDefault="008A442D" w:rsidP="00B21013">
            <w:pPr>
              <w:rPr>
                <w:rFonts w:ascii="Arial" w:hAnsi="Arial" w:cs="Arial"/>
                <w:color w:val="000000"/>
                <w:sz w:val="22"/>
                <w:szCs w:val="22"/>
              </w:rPr>
            </w:pPr>
            <w:r w:rsidRPr="00E619C8">
              <w:rPr>
                <w:rFonts w:ascii="Arial" w:hAnsi="Arial" w:cs="Arial"/>
                <w:color w:val="000000"/>
                <w:sz w:val="22"/>
                <w:szCs w:val="22"/>
              </w:rPr>
              <w:t>Rumah Sakit Mandalika</w:t>
            </w:r>
          </w:p>
        </w:tc>
        <w:tc>
          <w:tcPr>
            <w:tcW w:w="2060" w:type="dxa"/>
            <w:tcBorders>
              <w:top w:val="nil"/>
              <w:left w:val="nil"/>
              <w:bottom w:val="single" w:sz="4" w:space="0" w:color="auto"/>
              <w:right w:val="single" w:sz="4" w:space="0" w:color="auto"/>
            </w:tcBorders>
            <w:shd w:val="clear" w:color="000000" w:fill="FFFFFF"/>
            <w:vAlign w:val="center"/>
            <w:hideMark/>
          </w:tcPr>
          <w:p w14:paraId="4DB49A9D"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29.05</w:t>
            </w:r>
          </w:p>
        </w:tc>
      </w:tr>
      <w:tr w:rsidR="008A442D" w:rsidRPr="00E619C8" w14:paraId="76661413" w14:textId="77777777" w:rsidTr="008A442D">
        <w:trPr>
          <w:trHeight w:val="288"/>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1DC4FA4C"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9</w:t>
            </w:r>
          </w:p>
        </w:tc>
        <w:tc>
          <w:tcPr>
            <w:tcW w:w="4830" w:type="dxa"/>
            <w:tcBorders>
              <w:top w:val="nil"/>
              <w:left w:val="nil"/>
              <w:bottom w:val="single" w:sz="4" w:space="0" w:color="auto"/>
              <w:right w:val="single" w:sz="4" w:space="0" w:color="auto"/>
            </w:tcBorders>
            <w:shd w:val="clear" w:color="000000" w:fill="FFFFFF"/>
            <w:vAlign w:val="center"/>
            <w:hideMark/>
          </w:tcPr>
          <w:p w14:paraId="28C2F8E6" w14:textId="77777777" w:rsidR="008A442D" w:rsidRPr="00E619C8" w:rsidRDefault="008A442D" w:rsidP="00B21013">
            <w:pPr>
              <w:rPr>
                <w:rFonts w:ascii="Arial" w:hAnsi="Arial" w:cs="Arial"/>
                <w:color w:val="000000"/>
                <w:sz w:val="22"/>
                <w:szCs w:val="22"/>
              </w:rPr>
            </w:pPr>
            <w:r w:rsidRPr="00E619C8">
              <w:rPr>
                <w:rFonts w:ascii="Arial" w:hAnsi="Arial" w:cs="Arial"/>
                <w:color w:val="000000"/>
                <w:sz w:val="22"/>
                <w:szCs w:val="22"/>
              </w:rPr>
              <w:t>Rumah Sakit Jiwa Mutiara Sukma Provinsi</w:t>
            </w:r>
          </w:p>
        </w:tc>
        <w:tc>
          <w:tcPr>
            <w:tcW w:w="2060" w:type="dxa"/>
            <w:tcBorders>
              <w:top w:val="nil"/>
              <w:left w:val="nil"/>
              <w:bottom w:val="single" w:sz="4" w:space="0" w:color="auto"/>
              <w:right w:val="single" w:sz="4" w:space="0" w:color="auto"/>
            </w:tcBorders>
            <w:shd w:val="clear" w:color="000000" w:fill="FFFFFF"/>
            <w:vAlign w:val="center"/>
            <w:hideMark/>
          </w:tcPr>
          <w:p w14:paraId="5AD34760"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29.05</w:t>
            </w:r>
          </w:p>
        </w:tc>
      </w:tr>
      <w:tr w:rsidR="008A442D" w:rsidRPr="00E619C8" w14:paraId="050C75E1" w14:textId="77777777" w:rsidTr="008A442D">
        <w:trPr>
          <w:trHeight w:val="384"/>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451D13D0"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10</w:t>
            </w:r>
          </w:p>
        </w:tc>
        <w:tc>
          <w:tcPr>
            <w:tcW w:w="4830" w:type="dxa"/>
            <w:tcBorders>
              <w:top w:val="nil"/>
              <w:left w:val="nil"/>
              <w:bottom w:val="single" w:sz="4" w:space="0" w:color="auto"/>
              <w:right w:val="single" w:sz="4" w:space="0" w:color="auto"/>
            </w:tcBorders>
            <w:shd w:val="clear" w:color="000000" w:fill="FFFFFF"/>
            <w:vAlign w:val="center"/>
            <w:hideMark/>
          </w:tcPr>
          <w:p w14:paraId="078DF698" w14:textId="77777777" w:rsidR="008A442D" w:rsidRPr="00E619C8" w:rsidRDefault="008A442D" w:rsidP="00B21013">
            <w:pPr>
              <w:rPr>
                <w:rFonts w:ascii="Arial" w:hAnsi="Arial" w:cs="Arial"/>
                <w:color w:val="000000"/>
                <w:sz w:val="22"/>
                <w:szCs w:val="22"/>
              </w:rPr>
            </w:pPr>
            <w:r w:rsidRPr="00E619C8">
              <w:rPr>
                <w:rFonts w:ascii="Arial" w:hAnsi="Arial" w:cs="Arial"/>
                <w:color w:val="000000"/>
                <w:sz w:val="22"/>
                <w:szCs w:val="22"/>
              </w:rPr>
              <w:t>Sekretariat Dewan Perwakilan Rakyat Daerah</w:t>
            </w:r>
          </w:p>
        </w:tc>
        <w:tc>
          <w:tcPr>
            <w:tcW w:w="2060" w:type="dxa"/>
            <w:tcBorders>
              <w:top w:val="nil"/>
              <w:left w:val="nil"/>
              <w:bottom w:val="single" w:sz="4" w:space="0" w:color="auto"/>
              <w:right w:val="single" w:sz="4" w:space="0" w:color="auto"/>
            </w:tcBorders>
            <w:shd w:val="clear" w:color="000000" w:fill="FFFFFF"/>
            <w:vAlign w:val="center"/>
            <w:hideMark/>
          </w:tcPr>
          <w:p w14:paraId="6C39EB80"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29.05</w:t>
            </w:r>
          </w:p>
        </w:tc>
      </w:tr>
      <w:tr w:rsidR="008A442D" w:rsidRPr="00E619C8" w14:paraId="04983384" w14:textId="77777777" w:rsidTr="008A442D">
        <w:trPr>
          <w:trHeight w:val="288"/>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4A12ED43"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11</w:t>
            </w:r>
          </w:p>
        </w:tc>
        <w:tc>
          <w:tcPr>
            <w:tcW w:w="4830" w:type="dxa"/>
            <w:tcBorders>
              <w:top w:val="nil"/>
              <w:left w:val="nil"/>
              <w:bottom w:val="single" w:sz="4" w:space="0" w:color="auto"/>
              <w:right w:val="single" w:sz="4" w:space="0" w:color="auto"/>
            </w:tcBorders>
            <w:shd w:val="clear" w:color="000000" w:fill="FFFFFF"/>
            <w:vAlign w:val="center"/>
            <w:hideMark/>
          </w:tcPr>
          <w:p w14:paraId="532509D7" w14:textId="77777777" w:rsidR="008A442D" w:rsidRPr="00E619C8" w:rsidRDefault="008A442D" w:rsidP="00B21013">
            <w:pPr>
              <w:rPr>
                <w:rFonts w:ascii="Arial" w:hAnsi="Arial" w:cs="Arial"/>
                <w:color w:val="000000"/>
                <w:sz w:val="22"/>
                <w:szCs w:val="22"/>
              </w:rPr>
            </w:pPr>
            <w:r w:rsidRPr="00E619C8">
              <w:rPr>
                <w:rFonts w:ascii="Arial" w:hAnsi="Arial" w:cs="Arial"/>
                <w:color w:val="000000"/>
                <w:sz w:val="22"/>
                <w:szCs w:val="22"/>
              </w:rPr>
              <w:t>Badan Pengelolaan Pendapatan Daerah</w:t>
            </w:r>
          </w:p>
        </w:tc>
        <w:tc>
          <w:tcPr>
            <w:tcW w:w="2060" w:type="dxa"/>
            <w:tcBorders>
              <w:top w:val="nil"/>
              <w:left w:val="nil"/>
              <w:bottom w:val="single" w:sz="4" w:space="0" w:color="auto"/>
              <w:right w:val="single" w:sz="4" w:space="0" w:color="auto"/>
            </w:tcBorders>
            <w:shd w:val="clear" w:color="000000" w:fill="FFFFFF"/>
            <w:vAlign w:val="center"/>
            <w:hideMark/>
          </w:tcPr>
          <w:p w14:paraId="4EF76987"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29.05</w:t>
            </w:r>
          </w:p>
        </w:tc>
      </w:tr>
      <w:tr w:rsidR="008A442D" w:rsidRPr="00E619C8" w14:paraId="49BDFBD7" w14:textId="77777777" w:rsidTr="008A442D">
        <w:trPr>
          <w:trHeight w:val="384"/>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5DFD0FC4"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12</w:t>
            </w:r>
          </w:p>
        </w:tc>
        <w:tc>
          <w:tcPr>
            <w:tcW w:w="4830" w:type="dxa"/>
            <w:tcBorders>
              <w:top w:val="nil"/>
              <w:left w:val="nil"/>
              <w:bottom w:val="single" w:sz="4" w:space="0" w:color="auto"/>
              <w:right w:val="single" w:sz="4" w:space="0" w:color="auto"/>
            </w:tcBorders>
            <w:shd w:val="clear" w:color="000000" w:fill="FFFFFF"/>
            <w:vAlign w:val="center"/>
            <w:hideMark/>
          </w:tcPr>
          <w:p w14:paraId="5052B09D" w14:textId="77777777" w:rsidR="008A442D" w:rsidRPr="00E619C8" w:rsidRDefault="008A442D" w:rsidP="00B21013">
            <w:pPr>
              <w:rPr>
                <w:rFonts w:ascii="Arial" w:hAnsi="Arial" w:cs="Arial"/>
                <w:color w:val="000000"/>
                <w:sz w:val="22"/>
                <w:szCs w:val="22"/>
              </w:rPr>
            </w:pPr>
            <w:r w:rsidRPr="00E619C8">
              <w:rPr>
                <w:rFonts w:ascii="Arial" w:hAnsi="Arial" w:cs="Arial"/>
                <w:color w:val="000000"/>
                <w:sz w:val="22"/>
                <w:szCs w:val="22"/>
              </w:rPr>
              <w:t>Dinas Perumahan dan Permukiman</w:t>
            </w:r>
          </w:p>
        </w:tc>
        <w:tc>
          <w:tcPr>
            <w:tcW w:w="2060" w:type="dxa"/>
            <w:tcBorders>
              <w:top w:val="nil"/>
              <w:left w:val="nil"/>
              <w:bottom w:val="single" w:sz="4" w:space="0" w:color="auto"/>
              <w:right w:val="single" w:sz="4" w:space="0" w:color="auto"/>
            </w:tcBorders>
            <w:shd w:val="clear" w:color="000000" w:fill="FFFFFF"/>
            <w:vAlign w:val="center"/>
            <w:hideMark/>
          </w:tcPr>
          <w:p w14:paraId="0F4E4BC8"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29.05</w:t>
            </w:r>
          </w:p>
        </w:tc>
      </w:tr>
      <w:tr w:rsidR="008A442D" w:rsidRPr="00E619C8" w14:paraId="29578EBE" w14:textId="77777777" w:rsidTr="008A442D">
        <w:trPr>
          <w:trHeight w:val="288"/>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18734C30"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13</w:t>
            </w:r>
          </w:p>
        </w:tc>
        <w:tc>
          <w:tcPr>
            <w:tcW w:w="4830" w:type="dxa"/>
            <w:tcBorders>
              <w:top w:val="nil"/>
              <w:left w:val="nil"/>
              <w:bottom w:val="single" w:sz="4" w:space="0" w:color="auto"/>
              <w:right w:val="single" w:sz="4" w:space="0" w:color="auto"/>
            </w:tcBorders>
            <w:shd w:val="clear" w:color="000000" w:fill="FFFFFF"/>
            <w:vAlign w:val="center"/>
            <w:hideMark/>
          </w:tcPr>
          <w:p w14:paraId="1A3E8231" w14:textId="77777777" w:rsidR="008A442D" w:rsidRPr="00E619C8" w:rsidRDefault="008A442D" w:rsidP="00B21013">
            <w:pPr>
              <w:rPr>
                <w:rFonts w:ascii="Arial" w:hAnsi="Arial" w:cs="Arial"/>
                <w:color w:val="000000"/>
                <w:sz w:val="22"/>
                <w:szCs w:val="22"/>
              </w:rPr>
            </w:pPr>
            <w:r w:rsidRPr="00E619C8">
              <w:rPr>
                <w:rFonts w:ascii="Arial" w:hAnsi="Arial" w:cs="Arial"/>
                <w:color w:val="000000"/>
                <w:sz w:val="22"/>
                <w:szCs w:val="22"/>
              </w:rPr>
              <w:t>RSUD NTB</w:t>
            </w:r>
          </w:p>
        </w:tc>
        <w:tc>
          <w:tcPr>
            <w:tcW w:w="2060" w:type="dxa"/>
            <w:tcBorders>
              <w:top w:val="nil"/>
              <w:left w:val="nil"/>
              <w:bottom w:val="single" w:sz="4" w:space="0" w:color="auto"/>
              <w:right w:val="single" w:sz="4" w:space="0" w:color="auto"/>
            </w:tcBorders>
            <w:shd w:val="clear" w:color="000000" w:fill="FFFFFF"/>
            <w:vAlign w:val="center"/>
            <w:hideMark/>
          </w:tcPr>
          <w:p w14:paraId="6B15407B"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29.05</w:t>
            </w:r>
          </w:p>
        </w:tc>
      </w:tr>
      <w:tr w:rsidR="008A442D" w:rsidRPr="00E619C8" w14:paraId="29372221" w14:textId="77777777" w:rsidTr="008A442D">
        <w:trPr>
          <w:trHeight w:val="384"/>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1F0BE3C5"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14</w:t>
            </w:r>
          </w:p>
        </w:tc>
        <w:tc>
          <w:tcPr>
            <w:tcW w:w="4830" w:type="dxa"/>
            <w:tcBorders>
              <w:top w:val="nil"/>
              <w:left w:val="nil"/>
              <w:bottom w:val="single" w:sz="4" w:space="0" w:color="auto"/>
              <w:right w:val="single" w:sz="4" w:space="0" w:color="auto"/>
            </w:tcBorders>
            <w:shd w:val="clear" w:color="000000" w:fill="FFFFFF"/>
            <w:vAlign w:val="center"/>
            <w:hideMark/>
          </w:tcPr>
          <w:p w14:paraId="262DC0C1" w14:textId="77777777" w:rsidR="008A442D" w:rsidRPr="00E619C8" w:rsidRDefault="008A442D" w:rsidP="00B21013">
            <w:pPr>
              <w:rPr>
                <w:rFonts w:ascii="Arial" w:hAnsi="Arial" w:cs="Arial"/>
                <w:color w:val="000000"/>
                <w:sz w:val="22"/>
                <w:szCs w:val="22"/>
              </w:rPr>
            </w:pPr>
            <w:r w:rsidRPr="00E619C8">
              <w:rPr>
                <w:rFonts w:ascii="Arial" w:hAnsi="Arial" w:cs="Arial"/>
                <w:color w:val="000000"/>
                <w:sz w:val="22"/>
                <w:szCs w:val="22"/>
              </w:rPr>
              <w:t>Dinas Pekerjaan Umum dan Penataan Ruang (Bidang Sumber Daya Air)</w:t>
            </w:r>
          </w:p>
        </w:tc>
        <w:tc>
          <w:tcPr>
            <w:tcW w:w="2060" w:type="dxa"/>
            <w:tcBorders>
              <w:top w:val="nil"/>
              <w:left w:val="nil"/>
              <w:bottom w:val="single" w:sz="4" w:space="0" w:color="auto"/>
              <w:right w:val="single" w:sz="4" w:space="0" w:color="auto"/>
            </w:tcBorders>
            <w:shd w:val="clear" w:color="000000" w:fill="FFFFFF"/>
            <w:vAlign w:val="center"/>
            <w:hideMark/>
          </w:tcPr>
          <w:p w14:paraId="44486AD4"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28.9</w:t>
            </w:r>
          </w:p>
        </w:tc>
      </w:tr>
      <w:tr w:rsidR="008A442D" w:rsidRPr="00E619C8" w14:paraId="761C8BC3" w14:textId="77777777" w:rsidTr="008A442D">
        <w:trPr>
          <w:trHeight w:val="288"/>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43252108"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15</w:t>
            </w:r>
          </w:p>
        </w:tc>
        <w:tc>
          <w:tcPr>
            <w:tcW w:w="4830" w:type="dxa"/>
            <w:tcBorders>
              <w:top w:val="nil"/>
              <w:left w:val="nil"/>
              <w:bottom w:val="single" w:sz="4" w:space="0" w:color="auto"/>
              <w:right w:val="single" w:sz="4" w:space="0" w:color="auto"/>
            </w:tcBorders>
            <w:shd w:val="clear" w:color="000000" w:fill="FFFFFF"/>
            <w:vAlign w:val="center"/>
            <w:hideMark/>
          </w:tcPr>
          <w:p w14:paraId="02710FF8" w14:textId="77777777" w:rsidR="008A442D" w:rsidRPr="00E619C8" w:rsidRDefault="008A442D" w:rsidP="00B21013">
            <w:pPr>
              <w:rPr>
                <w:rFonts w:ascii="Arial" w:hAnsi="Arial" w:cs="Arial"/>
                <w:color w:val="000000"/>
                <w:sz w:val="22"/>
                <w:szCs w:val="22"/>
              </w:rPr>
            </w:pPr>
            <w:r w:rsidRPr="00E619C8">
              <w:rPr>
                <w:rFonts w:ascii="Arial" w:hAnsi="Arial" w:cs="Arial"/>
                <w:color w:val="000000"/>
                <w:sz w:val="22"/>
                <w:szCs w:val="22"/>
              </w:rPr>
              <w:t>Dinas Pemuda dan Olahraga</w:t>
            </w:r>
          </w:p>
        </w:tc>
        <w:tc>
          <w:tcPr>
            <w:tcW w:w="2060" w:type="dxa"/>
            <w:tcBorders>
              <w:top w:val="nil"/>
              <w:left w:val="nil"/>
              <w:bottom w:val="single" w:sz="4" w:space="0" w:color="auto"/>
              <w:right w:val="single" w:sz="4" w:space="0" w:color="auto"/>
            </w:tcBorders>
            <w:shd w:val="clear" w:color="000000" w:fill="FFFFFF"/>
            <w:vAlign w:val="center"/>
            <w:hideMark/>
          </w:tcPr>
          <w:p w14:paraId="467E4B53"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28.8</w:t>
            </w:r>
          </w:p>
        </w:tc>
      </w:tr>
      <w:tr w:rsidR="008A442D" w:rsidRPr="00E619C8" w14:paraId="3DCE7AC0" w14:textId="77777777" w:rsidTr="008A442D">
        <w:trPr>
          <w:trHeight w:val="288"/>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402ABC2A"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16</w:t>
            </w:r>
          </w:p>
        </w:tc>
        <w:tc>
          <w:tcPr>
            <w:tcW w:w="4830" w:type="dxa"/>
            <w:tcBorders>
              <w:top w:val="nil"/>
              <w:left w:val="nil"/>
              <w:bottom w:val="single" w:sz="4" w:space="0" w:color="auto"/>
              <w:right w:val="single" w:sz="4" w:space="0" w:color="auto"/>
            </w:tcBorders>
            <w:shd w:val="clear" w:color="000000" w:fill="FFFFFF"/>
            <w:vAlign w:val="center"/>
            <w:hideMark/>
          </w:tcPr>
          <w:p w14:paraId="428168B4" w14:textId="77777777" w:rsidR="008A442D" w:rsidRPr="00E619C8" w:rsidRDefault="008A442D" w:rsidP="00B21013">
            <w:pPr>
              <w:rPr>
                <w:rFonts w:ascii="Arial" w:hAnsi="Arial" w:cs="Arial"/>
                <w:color w:val="000000"/>
                <w:sz w:val="22"/>
                <w:szCs w:val="22"/>
              </w:rPr>
            </w:pPr>
            <w:r w:rsidRPr="00E619C8">
              <w:rPr>
                <w:rFonts w:ascii="Arial" w:hAnsi="Arial" w:cs="Arial"/>
                <w:color w:val="000000"/>
                <w:sz w:val="22"/>
                <w:szCs w:val="22"/>
              </w:rPr>
              <w:t>Dinas Perpustakaan dan Kearsipan</w:t>
            </w:r>
          </w:p>
        </w:tc>
        <w:tc>
          <w:tcPr>
            <w:tcW w:w="2060" w:type="dxa"/>
            <w:tcBorders>
              <w:top w:val="nil"/>
              <w:left w:val="nil"/>
              <w:bottom w:val="single" w:sz="4" w:space="0" w:color="auto"/>
              <w:right w:val="single" w:sz="4" w:space="0" w:color="auto"/>
            </w:tcBorders>
            <w:shd w:val="clear" w:color="000000" w:fill="FFFFFF"/>
            <w:vAlign w:val="center"/>
            <w:hideMark/>
          </w:tcPr>
          <w:p w14:paraId="799AAC3C"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28.3</w:t>
            </w:r>
          </w:p>
        </w:tc>
      </w:tr>
      <w:tr w:rsidR="008A442D" w:rsidRPr="00E619C8" w14:paraId="2E90A298" w14:textId="77777777" w:rsidTr="008A442D">
        <w:trPr>
          <w:trHeight w:val="288"/>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3547E274"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17</w:t>
            </w:r>
          </w:p>
        </w:tc>
        <w:tc>
          <w:tcPr>
            <w:tcW w:w="4830" w:type="dxa"/>
            <w:tcBorders>
              <w:top w:val="nil"/>
              <w:left w:val="nil"/>
              <w:bottom w:val="single" w:sz="4" w:space="0" w:color="auto"/>
              <w:right w:val="single" w:sz="4" w:space="0" w:color="auto"/>
            </w:tcBorders>
            <w:shd w:val="clear" w:color="000000" w:fill="FFFFFF"/>
            <w:vAlign w:val="center"/>
            <w:hideMark/>
          </w:tcPr>
          <w:p w14:paraId="21C759A7" w14:textId="77777777" w:rsidR="008A442D" w:rsidRPr="00E619C8" w:rsidRDefault="008A442D" w:rsidP="00B21013">
            <w:pPr>
              <w:rPr>
                <w:rFonts w:ascii="Arial" w:hAnsi="Arial" w:cs="Arial"/>
                <w:color w:val="000000"/>
                <w:sz w:val="22"/>
                <w:szCs w:val="22"/>
              </w:rPr>
            </w:pPr>
            <w:r w:rsidRPr="00E619C8">
              <w:rPr>
                <w:rFonts w:ascii="Arial" w:hAnsi="Arial" w:cs="Arial"/>
                <w:color w:val="000000"/>
                <w:sz w:val="22"/>
                <w:szCs w:val="22"/>
              </w:rPr>
              <w:t>Dinas Lingkungan Hidup dan Kehutanan</w:t>
            </w:r>
          </w:p>
        </w:tc>
        <w:tc>
          <w:tcPr>
            <w:tcW w:w="2060" w:type="dxa"/>
            <w:tcBorders>
              <w:top w:val="nil"/>
              <w:left w:val="nil"/>
              <w:bottom w:val="single" w:sz="4" w:space="0" w:color="auto"/>
              <w:right w:val="single" w:sz="4" w:space="0" w:color="auto"/>
            </w:tcBorders>
            <w:shd w:val="clear" w:color="000000" w:fill="FFFFFF"/>
            <w:vAlign w:val="center"/>
            <w:hideMark/>
          </w:tcPr>
          <w:p w14:paraId="77C72984"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27.1</w:t>
            </w:r>
          </w:p>
        </w:tc>
      </w:tr>
      <w:tr w:rsidR="008A442D" w:rsidRPr="00E619C8" w14:paraId="3324858C" w14:textId="77777777" w:rsidTr="008A442D">
        <w:trPr>
          <w:trHeight w:val="384"/>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7DBA5B96"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18</w:t>
            </w:r>
          </w:p>
        </w:tc>
        <w:tc>
          <w:tcPr>
            <w:tcW w:w="4830" w:type="dxa"/>
            <w:tcBorders>
              <w:top w:val="nil"/>
              <w:left w:val="nil"/>
              <w:bottom w:val="single" w:sz="4" w:space="0" w:color="auto"/>
              <w:right w:val="single" w:sz="4" w:space="0" w:color="auto"/>
            </w:tcBorders>
            <w:shd w:val="clear" w:color="000000" w:fill="FFFFFF"/>
            <w:vAlign w:val="center"/>
            <w:hideMark/>
          </w:tcPr>
          <w:p w14:paraId="7158766F" w14:textId="77777777" w:rsidR="008A442D" w:rsidRPr="00E619C8" w:rsidRDefault="008A442D" w:rsidP="00B21013">
            <w:pPr>
              <w:rPr>
                <w:rFonts w:ascii="Arial" w:hAnsi="Arial" w:cs="Arial"/>
                <w:color w:val="000000"/>
                <w:sz w:val="22"/>
                <w:szCs w:val="22"/>
              </w:rPr>
            </w:pPr>
            <w:r w:rsidRPr="00E619C8">
              <w:rPr>
                <w:rFonts w:ascii="Arial" w:hAnsi="Arial" w:cs="Arial"/>
                <w:color w:val="000000"/>
                <w:sz w:val="22"/>
                <w:szCs w:val="22"/>
              </w:rPr>
              <w:t>Dinas Perindustrian</w:t>
            </w:r>
          </w:p>
        </w:tc>
        <w:tc>
          <w:tcPr>
            <w:tcW w:w="2060" w:type="dxa"/>
            <w:tcBorders>
              <w:top w:val="nil"/>
              <w:left w:val="nil"/>
              <w:bottom w:val="single" w:sz="4" w:space="0" w:color="auto"/>
              <w:right w:val="single" w:sz="4" w:space="0" w:color="auto"/>
            </w:tcBorders>
            <w:shd w:val="clear" w:color="000000" w:fill="FFFFFF"/>
            <w:vAlign w:val="center"/>
            <w:hideMark/>
          </w:tcPr>
          <w:p w14:paraId="69C484B8"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24.85</w:t>
            </w:r>
          </w:p>
        </w:tc>
      </w:tr>
      <w:tr w:rsidR="008A442D" w:rsidRPr="00E619C8" w14:paraId="166B901E" w14:textId="77777777" w:rsidTr="00B21013">
        <w:trPr>
          <w:trHeight w:val="384"/>
          <w:jc w:val="center"/>
        </w:trPr>
        <w:tc>
          <w:tcPr>
            <w:tcW w:w="1255" w:type="dxa"/>
            <w:tcBorders>
              <w:top w:val="nil"/>
              <w:left w:val="single" w:sz="4" w:space="0" w:color="auto"/>
              <w:bottom w:val="single" w:sz="4" w:space="0" w:color="auto"/>
              <w:right w:val="single" w:sz="4" w:space="0" w:color="auto"/>
            </w:tcBorders>
            <w:shd w:val="clear" w:color="000000" w:fill="FFFFFF"/>
            <w:noWrap/>
            <w:vAlign w:val="center"/>
            <w:hideMark/>
          </w:tcPr>
          <w:p w14:paraId="1B242B9F"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19</w:t>
            </w:r>
          </w:p>
        </w:tc>
        <w:tc>
          <w:tcPr>
            <w:tcW w:w="4830" w:type="dxa"/>
            <w:tcBorders>
              <w:top w:val="nil"/>
              <w:left w:val="nil"/>
              <w:bottom w:val="single" w:sz="4" w:space="0" w:color="auto"/>
              <w:right w:val="single" w:sz="4" w:space="0" w:color="auto"/>
            </w:tcBorders>
            <w:shd w:val="clear" w:color="000000" w:fill="FFFFFF"/>
            <w:vAlign w:val="center"/>
            <w:hideMark/>
          </w:tcPr>
          <w:p w14:paraId="55AA2B7B" w14:textId="77777777" w:rsidR="008A442D" w:rsidRPr="00E619C8" w:rsidRDefault="008A442D" w:rsidP="00B21013">
            <w:pPr>
              <w:rPr>
                <w:rFonts w:ascii="Arial" w:hAnsi="Arial" w:cs="Arial"/>
                <w:color w:val="000000"/>
                <w:sz w:val="22"/>
                <w:szCs w:val="22"/>
              </w:rPr>
            </w:pPr>
            <w:r w:rsidRPr="00E619C8">
              <w:rPr>
                <w:rFonts w:ascii="Arial" w:hAnsi="Arial" w:cs="Arial"/>
                <w:color w:val="000000"/>
                <w:sz w:val="22"/>
                <w:szCs w:val="22"/>
              </w:rPr>
              <w:t>Dinas Pekerjaan Umum dan Penataan Ruang (Bidang Cipta Karya)</w:t>
            </w:r>
          </w:p>
        </w:tc>
        <w:tc>
          <w:tcPr>
            <w:tcW w:w="2060" w:type="dxa"/>
            <w:tcBorders>
              <w:top w:val="nil"/>
              <w:left w:val="nil"/>
              <w:bottom w:val="single" w:sz="4" w:space="0" w:color="auto"/>
              <w:right w:val="single" w:sz="4" w:space="0" w:color="auto"/>
            </w:tcBorders>
            <w:shd w:val="clear" w:color="000000" w:fill="FFFFFF"/>
            <w:vAlign w:val="center"/>
            <w:hideMark/>
          </w:tcPr>
          <w:p w14:paraId="7C52FAC7" w14:textId="77777777" w:rsidR="008A442D" w:rsidRPr="00E619C8" w:rsidRDefault="008A442D" w:rsidP="007F3E4C">
            <w:pPr>
              <w:spacing w:line="360" w:lineRule="auto"/>
              <w:jc w:val="center"/>
              <w:rPr>
                <w:rFonts w:ascii="Arial" w:hAnsi="Arial" w:cs="Arial"/>
                <w:color w:val="000000"/>
                <w:sz w:val="22"/>
                <w:szCs w:val="22"/>
              </w:rPr>
            </w:pPr>
            <w:r w:rsidRPr="00E619C8">
              <w:rPr>
                <w:rFonts w:ascii="Arial" w:hAnsi="Arial" w:cs="Arial"/>
                <w:color w:val="000000"/>
                <w:sz w:val="22"/>
                <w:szCs w:val="22"/>
              </w:rPr>
              <w:t>24.7</w:t>
            </w:r>
          </w:p>
        </w:tc>
      </w:tr>
    </w:tbl>
    <w:p w14:paraId="16B3BE9C" w14:textId="206CB9D9" w:rsidR="002033A5" w:rsidRPr="00E619C8" w:rsidRDefault="00E113EC">
      <w:pPr>
        <w:spacing w:before="240" w:after="240" w:line="300" w:lineRule="auto"/>
        <w:jc w:val="center"/>
        <w:rPr>
          <w:rFonts w:ascii="Arial" w:eastAsia="Arial" w:hAnsi="Arial" w:cs="Arial"/>
          <w:sz w:val="20"/>
          <w:szCs w:val="20"/>
        </w:rPr>
      </w:pPr>
      <w:r w:rsidRPr="00E619C8">
        <w:rPr>
          <w:rFonts w:ascii="Arial" w:eastAsia="Arial" w:hAnsi="Arial" w:cs="Arial"/>
          <w:sz w:val="20"/>
          <w:szCs w:val="20"/>
        </w:rPr>
        <w:t xml:space="preserve">Table </w:t>
      </w:r>
      <w:r w:rsidR="00DD0F1A" w:rsidRPr="00E619C8">
        <w:rPr>
          <w:rFonts w:ascii="Arial" w:eastAsia="Arial" w:hAnsi="Arial" w:cs="Arial"/>
          <w:sz w:val="20"/>
          <w:szCs w:val="20"/>
        </w:rPr>
        <w:t>17</w:t>
      </w:r>
      <w:r w:rsidRPr="00E619C8">
        <w:rPr>
          <w:rFonts w:ascii="Arial" w:eastAsia="Arial" w:hAnsi="Arial" w:cs="Arial"/>
          <w:sz w:val="20"/>
          <w:szCs w:val="20"/>
        </w:rPr>
        <w:t>. Sub-Ranking of Top Procuring Entities in Dimension 4 (Information disclosure)</w:t>
      </w:r>
    </w:p>
    <w:p w14:paraId="76B07D13" w14:textId="472CA424" w:rsidR="0032427F" w:rsidRPr="00E619C8" w:rsidRDefault="00787945">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For Dimension 4 (Information Disclosure), the top performer is Dinas Pendidikan dan Kebudayaan (Department of Education and Culture) (40.70), followed by Dinas Koperasi Usaha Kecil dan Menengah (Department of Cooperatives and Small and Medium Enterprises) (33.80) and Dinas Pertanian dan Perkebunan (Department of Agriculture and Plantation) (31.80). </w:t>
      </w:r>
    </w:p>
    <w:p w14:paraId="08A434AD" w14:textId="74C9A449"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Compared to Dimensions 2 and 3, the scores in Dimension 4 are clustered within a relatively narrow range, with many PEs grouped around similar values. This pattern implies that disclosure practices may be influenced by common external constraints (such as availability of project data online, standard formats, or platform limitations), and that disclosure improvements may require system-wide measures (standard templates, clearer minimum disclosure requirements, and stronger publication mandates), not only PE-specific efforts.</w:t>
      </w:r>
    </w:p>
    <w:p w14:paraId="1E8587B3" w14:textId="389D74C6"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Overall, the sub-rankings suggest three practical lessons. First, benchmarking should be dimension-specific: for example, BPPD can </w:t>
      </w:r>
      <w:r w:rsidR="00146E0B">
        <w:rPr>
          <w:rFonts w:ascii="Arial" w:eastAsia="Arial" w:hAnsi="Arial" w:cs="Arial"/>
          <w:sz w:val="22"/>
          <w:szCs w:val="22"/>
        </w:rPr>
        <w:t>serve as a reference for institutional process strength (Dim 2), while Bina Marga can serve as a reference for participation practices (Dim 3), and Education and Culture can serve as</w:t>
      </w:r>
      <w:r w:rsidRPr="00E619C8">
        <w:rPr>
          <w:rFonts w:ascii="Arial" w:eastAsia="Arial" w:hAnsi="Arial" w:cs="Arial"/>
          <w:sz w:val="22"/>
          <w:szCs w:val="22"/>
        </w:rPr>
        <w:t xml:space="preserve"> a reference for disclosure outputs (Dim 4). Second, entities with strong Dim 2 but weak Dim 3 or Dim 4 likely need support in translating capacity into outward-facing transparency. Third, because Dim 3 shows the sharpest gaps, strengthening citizen participation mechanisms could deliver substantial gains for several PEs, while </w:t>
      </w:r>
      <w:r w:rsidR="00B050EE">
        <w:rPr>
          <w:rFonts w:ascii="Arial" w:eastAsia="Arial" w:hAnsi="Arial" w:cs="Arial"/>
          <w:sz w:val="22"/>
          <w:szCs w:val="22"/>
        </w:rPr>
        <w:t xml:space="preserve">improvements in Dim 4 </w:t>
      </w:r>
      <w:r w:rsidRPr="00E619C8">
        <w:rPr>
          <w:rFonts w:ascii="Arial" w:eastAsia="Arial" w:hAnsi="Arial" w:cs="Arial"/>
          <w:sz w:val="22"/>
          <w:szCs w:val="22"/>
        </w:rPr>
        <w:t>may benefit from harmonised disclosure standards and shared digital solutions across institutions.</w:t>
      </w:r>
    </w:p>
    <w:p w14:paraId="03B39002" w14:textId="77777777" w:rsidR="002033A5" w:rsidRPr="00E619C8" w:rsidRDefault="00E113EC">
      <w:pPr>
        <w:pStyle w:val="Heading2"/>
        <w:pBdr>
          <w:top w:val="nil"/>
          <w:left w:val="nil"/>
          <w:bottom w:val="nil"/>
          <w:right w:val="nil"/>
          <w:between w:val="nil"/>
        </w:pBdr>
        <w:spacing w:before="320" w:after="160" w:line="276" w:lineRule="auto"/>
        <w:jc w:val="both"/>
        <w:rPr>
          <w:rFonts w:ascii="Arial" w:eastAsia="Arial" w:hAnsi="Arial" w:cs="Arial"/>
          <w:b/>
          <w:bCs/>
          <w:color w:val="C00000"/>
          <w:sz w:val="28"/>
          <w:szCs w:val="28"/>
        </w:rPr>
      </w:pPr>
      <w:bookmarkStart w:id="34" w:name="_Toc227235261"/>
      <w:r w:rsidRPr="00E619C8">
        <w:rPr>
          <w:rFonts w:ascii="Arial" w:eastAsia="Arial" w:hAnsi="Arial" w:cs="Arial"/>
          <w:b/>
          <w:bCs/>
          <w:color w:val="C00000"/>
          <w:sz w:val="28"/>
          <w:szCs w:val="28"/>
        </w:rPr>
        <w:t>3.3 Infrastructure projects scores</w:t>
      </w:r>
      <w:bookmarkEnd w:id="34"/>
    </w:p>
    <w:tbl>
      <w:tblPr>
        <w:tblW w:w="9016" w:type="dxa"/>
        <w:jc w:val="center"/>
        <w:tblLook w:val="04A0" w:firstRow="1" w:lastRow="0" w:firstColumn="1" w:lastColumn="0" w:noHBand="0" w:noVBand="1"/>
      </w:tblPr>
      <w:tblGrid>
        <w:gridCol w:w="754"/>
        <w:gridCol w:w="2481"/>
        <w:gridCol w:w="4445"/>
        <w:gridCol w:w="1336"/>
      </w:tblGrid>
      <w:tr w:rsidR="0054757E" w:rsidRPr="00E619C8" w14:paraId="51C66FC9" w14:textId="77777777" w:rsidTr="0054757E">
        <w:trPr>
          <w:trHeight w:val="576"/>
          <w:tblHeader/>
          <w:jc w:val="center"/>
        </w:trPr>
        <w:tc>
          <w:tcPr>
            <w:tcW w:w="754" w:type="dxa"/>
            <w:tcBorders>
              <w:top w:val="single" w:sz="4" w:space="0" w:color="auto"/>
              <w:left w:val="single" w:sz="4" w:space="0" w:color="auto"/>
              <w:bottom w:val="single" w:sz="4" w:space="0" w:color="auto"/>
              <w:right w:val="single" w:sz="4" w:space="0" w:color="auto"/>
            </w:tcBorders>
            <w:shd w:val="clear" w:color="auto" w:fill="C00000"/>
            <w:vAlign w:val="center"/>
          </w:tcPr>
          <w:p w14:paraId="5EA9FFD3" w14:textId="2EA1DA80" w:rsidR="0054757E" w:rsidRPr="00E619C8" w:rsidRDefault="0054757E" w:rsidP="007F3E4C">
            <w:pPr>
              <w:spacing w:line="276" w:lineRule="auto"/>
              <w:jc w:val="center"/>
              <w:rPr>
                <w:rFonts w:ascii="Arial" w:hAnsi="Arial" w:cs="Arial"/>
                <w:b/>
                <w:bCs/>
                <w:color w:val="FFFFFF"/>
                <w:sz w:val="22"/>
                <w:szCs w:val="22"/>
              </w:rPr>
            </w:pPr>
            <w:r w:rsidRPr="00E619C8">
              <w:rPr>
                <w:rFonts w:ascii="Arial" w:hAnsi="Arial" w:cs="Arial"/>
                <w:b/>
                <w:bCs/>
                <w:color w:val="FFFFFF"/>
                <w:sz w:val="22"/>
                <w:szCs w:val="22"/>
              </w:rPr>
              <w:t>Rank</w:t>
            </w:r>
          </w:p>
        </w:tc>
        <w:tc>
          <w:tcPr>
            <w:tcW w:w="2481" w:type="dxa"/>
            <w:tcBorders>
              <w:top w:val="single" w:sz="4" w:space="0" w:color="auto"/>
              <w:left w:val="nil"/>
              <w:bottom w:val="single" w:sz="4" w:space="0" w:color="auto"/>
              <w:right w:val="single" w:sz="4" w:space="0" w:color="auto"/>
            </w:tcBorders>
            <w:shd w:val="clear" w:color="auto" w:fill="C00000"/>
            <w:vAlign w:val="center"/>
          </w:tcPr>
          <w:p w14:paraId="697BCA91" w14:textId="54A2FB36" w:rsidR="0054757E" w:rsidRPr="00E619C8" w:rsidRDefault="0054757E" w:rsidP="007F3E4C">
            <w:pPr>
              <w:spacing w:line="276" w:lineRule="auto"/>
              <w:jc w:val="center"/>
              <w:rPr>
                <w:rFonts w:ascii="Arial" w:hAnsi="Arial" w:cs="Arial"/>
                <w:b/>
                <w:bCs/>
                <w:color w:val="FFFFFF"/>
                <w:sz w:val="22"/>
                <w:szCs w:val="22"/>
              </w:rPr>
            </w:pPr>
            <w:r w:rsidRPr="00E619C8">
              <w:rPr>
                <w:rFonts w:ascii="Arial" w:hAnsi="Arial" w:cs="Arial"/>
                <w:b/>
                <w:bCs/>
                <w:color w:val="FFFFFF"/>
                <w:sz w:val="22"/>
                <w:szCs w:val="22"/>
              </w:rPr>
              <w:t>PE Name</w:t>
            </w:r>
          </w:p>
        </w:tc>
        <w:tc>
          <w:tcPr>
            <w:tcW w:w="4445"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3AC81AD1" w14:textId="303B2EB6" w:rsidR="0054757E" w:rsidRPr="00E619C8" w:rsidRDefault="0054757E" w:rsidP="007F3E4C">
            <w:pPr>
              <w:spacing w:line="276" w:lineRule="auto"/>
              <w:jc w:val="center"/>
              <w:rPr>
                <w:rFonts w:ascii="Arial" w:hAnsi="Arial" w:cs="Arial"/>
                <w:b/>
                <w:bCs/>
                <w:color w:val="FFFFFF"/>
                <w:sz w:val="22"/>
                <w:szCs w:val="22"/>
              </w:rPr>
            </w:pPr>
            <w:r w:rsidRPr="00E619C8">
              <w:rPr>
                <w:rFonts w:ascii="Arial" w:hAnsi="Arial" w:cs="Arial"/>
                <w:b/>
                <w:bCs/>
                <w:color w:val="FFFFFF"/>
                <w:sz w:val="22"/>
                <w:szCs w:val="22"/>
              </w:rPr>
              <w:t>PE Project Name</w:t>
            </w:r>
          </w:p>
        </w:tc>
        <w:tc>
          <w:tcPr>
            <w:tcW w:w="1336" w:type="dxa"/>
            <w:tcBorders>
              <w:top w:val="single" w:sz="4" w:space="0" w:color="auto"/>
              <w:left w:val="nil"/>
              <w:bottom w:val="single" w:sz="4" w:space="0" w:color="auto"/>
              <w:right w:val="single" w:sz="4" w:space="0" w:color="auto"/>
            </w:tcBorders>
            <w:shd w:val="clear" w:color="auto" w:fill="C00000"/>
            <w:vAlign w:val="center"/>
            <w:hideMark/>
          </w:tcPr>
          <w:p w14:paraId="29B9A39C" w14:textId="77777777" w:rsidR="0054757E" w:rsidRPr="00E619C8" w:rsidRDefault="0054757E" w:rsidP="007F3E4C">
            <w:pPr>
              <w:spacing w:line="276" w:lineRule="auto"/>
              <w:jc w:val="center"/>
              <w:rPr>
                <w:rFonts w:ascii="Arial" w:hAnsi="Arial" w:cs="Arial"/>
                <w:b/>
                <w:bCs/>
                <w:color w:val="FFFFFF"/>
                <w:sz w:val="22"/>
                <w:szCs w:val="22"/>
              </w:rPr>
            </w:pPr>
            <w:r w:rsidRPr="00E619C8">
              <w:rPr>
                <w:rFonts w:ascii="Arial" w:hAnsi="Arial" w:cs="Arial"/>
                <w:b/>
                <w:bCs/>
                <w:color w:val="FFFFFF"/>
                <w:sz w:val="22"/>
                <w:szCs w:val="22"/>
              </w:rPr>
              <w:t xml:space="preserve"> Project Score</w:t>
            </w:r>
          </w:p>
        </w:tc>
      </w:tr>
      <w:tr w:rsidR="0054757E" w:rsidRPr="00E619C8" w14:paraId="5C6F5629" w14:textId="77777777" w:rsidTr="0054757E">
        <w:trPr>
          <w:trHeight w:val="576"/>
          <w:jc w:val="center"/>
        </w:trPr>
        <w:tc>
          <w:tcPr>
            <w:tcW w:w="754" w:type="dxa"/>
            <w:tcBorders>
              <w:top w:val="nil"/>
              <w:left w:val="single" w:sz="4" w:space="0" w:color="auto"/>
              <w:bottom w:val="single" w:sz="4" w:space="0" w:color="auto"/>
              <w:right w:val="single" w:sz="4" w:space="0" w:color="auto"/>
            </w:tcBorders>
            <w:vAlign w:val="center"/>
          </w:tcPr>
          <w:p w14:paraId="44BB633C" w14:textId="11FF796B" w:rsidR="0054757E" w:rsidRPr="00E619C8" w:rsidRDefault="0054757E" w:rsidP="007F3E4C">
            <w:pPr>
              <w:spacing w:line="276" w:lineRule="auto"/>
              <w:jc w:val="center"/>
              <w:rPr>
                <w:rFonts w:ascii="Arial" w:hAnsi="Arial" w:cs="Arial"/>
                <w:color w:val="000000"/>
                <w:sz w:val="22"/>
                <w:szCs w:val="22"/>
              </w:rPr>
            </w:pPr>
            <w:r w:rsidRPr="00E619C8">
              <w:rPr>
                <w:rFonts w:ascii="Arial" w:hAnsi="Arial" w:cs="Arial"/>
                <w:color w:val="000000"/>
                <w:sz w:val="22"/>
                <w:szCs w:val="22"/>
              </w:rPr>
              <w:t>1</w:t>
            </w:r>
          </w:p>
        </w:tc>
        <w:tc>
          <w:tcPr>
            <w:tcW w:w="2481" w:type="dxa"/>
            <w:tcBorders>
              <w:top w:val="single" w:sz="4" w:space="0" w:color="auto"/>
              <w:left w:val="nil"/>
              <w:bottom w:val="single" w:sz="4" w:space="0" w:color="auto"/>
              <w:right w:val="single" w:sz="4" w:space="0" w:color="auto"/>
            </w:tcBorders>
            <w:vAlign w:val="center"/>
          </w:tcPr>
          <w:p w14:paraId="06018BDC" w14:textId="0B8C3C7C" w:rsidR="0054757E" w:rsidRPr="00E619C8" w:rsidRDefault="0054757E" w:rsidP="00B21013">
            <w:pPr>
              <w:rPr>
                <w:rFonts w:ascii="Arial" w:hAnsi="Arial" w:cs="Arial"/>
                <w:color w:val="000000"/>
                <w:sz w:val="22"/>
                <w:szCs w:val="22"/>
              </w:rPr>
            </w:pPr>
            <w:r w:rsidRPr="00E619C8">
              <w:rPr>
                <w:rFonts w:ascii="Arial" w:hAnsi="Arial" w:cs="Arial"/>
                <w:color w:val="000000"/>
                <w:sz w:val="22"/>
                <w:szCs w:val="22"/>
              </w:rPr>
              <w:t>Dinas Pendidikan dan Kebudayaan</w:t>
            </w:r>
          </w:p>
        </w:tc>
        <w:tc>
          <w:tcPr>
            <w:tcW w:w="4445" w:type="dxa"/>
            <w:tcBorders>
              <w:top w:val="nil"/>
              <w:left w:val="single" w:sz="4" w:space="0" w:color="auto"/>
              <w:bottom w:val="single" w:sz="4" w:space="0" w:color="auto"/>
              <w:right w:val="single" w:sz="4" w:space="0" w:color="auto"/>
            </w:tcBorders>
            <w:vAlign w:val="center"/>
            <w:hideMark/>
          </w:tcPr>
          <w:p w14:paraId="63DAE03E" w14:textId="4D16FD55" w:rsidR="0054757E" w:rsidRPr="00E619C8" w:rsidRDefault="0054757E" w:rsidP="00B21013">
            <w:pPr>
              <w:rPr>
                <w:rFonts w:ascii="Arial" w:hAnsi="Arial" w:cs="Arial"/>
                <w:color w:val="000000"/>
                <w:sz w:val="22"/>
                <w:szCs w:val="22"/>
              </w:rPr>
            </w:pPr>
            <w:r w:rsidRPr="00E619C8">
              <w:rPr>
                <w:rFonts w:ascii="Arial" w:hAnsi="Arial" w:cs="Arial"/>
                <w:color w:val="000000"/>
                <w:sz w:val="22"/>
                <w:szCs w:val="22"/>
              </w:rPr>
              <w:t>5.1 Belanja Modal Pembangunan Unit Sekolah Baru (USB) SLBN 3 Mataram</w:t>
            </w:r>
          </w:p>
        </w:tc>
        <w:tc>
          <w:tcPr>
            <w:tcW w:w="1336" w:type="dxa"/>
            <w:tcBorders>
              <w:top w:val="nil"/>
              <w:left w:val="nil"/>
              <w:bottom w:val="single" w:sz="4" w:space="0" w:color="auto"/>
              <w:right w:val="single" w:sz="4" w:space="0" w:color="auto"/>
            </w:tcBorders>
            <w:vAlign w:val="center"/>
            <w:hideMark/>
          </w:tcPr>
          <w:p w14:paraId="5ED9967E" w14:textId="77777777" w:rsidR="0054757E" w:rsidRPr="00E619C8" w:rsidRDefault="0054757E" w:rsidP="007F3E4C">
            <w:pPr>
              <w:spacing w:line="276" w:lineRule="auto"/>
              <w:jc w:val="center"/>
              <w:rPr>
                <w:rFonts w:ascii="Arial" w:hAnsi="Arial" w:cs="Arial"/>
                <w:color w:val="000000"/>
                <w:sz w:val="22"/>
                <w:szCs w:val="22"/>
              </w:rPr>
            </w:pPr>
            <w:r w:rsidRPr="00E619C8">
              <w:rPr>
                <w:rFonts w:ascii="Arial" w:hAnsi="Arial" w:cs="Arial"/>
                <w:color w:val="000000"/>
                <w:sz w:val="22"/>
                <w:szCs w:val="22"/>
              </w:rPr>
              <w:t>40.70</w:t>
            </w:r>
          </w:p>
        </w:tc>
      </w:tr>
      <w:tr w:rsidR="0054757E" w:rsidRPr="00E619C8" w14:paraId="6ED10A75" w14:textId="77777777" w:rsidTr="0054757E">
        <w:trPr>
          <w:trHeight w:val="864"/>
          <w:jc w:val="center"/>
        </w:trPr>
        <w:tc>
          <w:tcPr>
            <w:tcW w:w="754" w:type="dxa"/>
            <w:tcBorders>
              <w:top w:val="nil"/>
              <w:left w:val="single" w:sz="4" w:space="0" w:color="auto"/>
              <w:bottom w:val="single" w:sz="4" w:space="0" w:color="auto"/>
              <w:right w:val="single" w:sz="4" w:space="0" w:color="auto"/>
            </w:tcBorders>
            <w:vAlign w:val="center"/>
          </w:tcPr>
          <w:p w14:paraId="36493C6F" w14:textId="05BFCEFD" w:rsidR="0054757E" w:rsidRPr="00E619C8" w:rsidRDefault="0054757E" w:rsidP="007F3E4C">
            <w:pPr>
              <w:spacing w:line="276" w:lineRule="auto"/>
              <w:jc w:val="center"/>
              <w:rPr>
                <w:rFonts w:ascii="Arial" w:hAnsi="Arial" w:cs="Arial"/>
                <w:color w:val="000000"/>
                <w:sz w:val="22"/>
                <w:szCs w:val="22"/>
              </w:rPr>
            </w:pPr>
            <w:r w:rsidRPr="00E619C8">
              <w:rPr>
                <w:rFonts w:ascii="Arial" w:hAnsi="Arial" w:cs="Arial"/>
                <w:color w:val="000000"/>
                <w:sz w:val="22"/>
                <w:szCs w:val="22"/>
              </w:rPr>
              <w:t>2</w:t>
            </w:r>
          </w:p>
        </w:tc>
        <w:tc>
          <w:tcPr>
            <w:tcW w:w="2481" w:type="dxa"/>
            <w:tcBorders>
              <w:top w:val="single" w:sz="4" w:space="0" w:color="auto"/>
              <w:left w:val="nil"/>
              <w:bottom w:val="single" w:sz="4" w:space="0" w:color="auto"/>
              <w:right w:val="single" w:sz="4" w:space="0" w:color="auto"/>
            </w:tcBorders>
            <w:vAlign w:val="center"/>
          </w:tcPr>
          <w:p w14:paraId="5323AEA1" w14:textId="1DF909CF" w:rsidR="0054757E" w:rsidRPr="00E619C8" w:rsidRDefault="0054757E" w:rsidP="00B21013">
            <w:pPr>
              <w:rPr>
                <w:rFonts w:ascii="Arial" w:hAnsi="Arial" w:cs="Arial"/>
                <w:color w:val="000000"/>
                <w:sz w:val="22"/>
                <w:szCs w:val="22"/>
              </w:rPr>
            </w:pPr>
            <w:r w:rsidRPr="00E619C8">
              <w:rPr>
                <w:rFonts w:ascii="Arial" w:hAnsi="Arial" w:cs="Arial"/>
                <w:color w:val="000000"/>
                <w:sz w:val="22"/>
                <w:szCs w:val="22"/>
              </w:rPr>
              <w:t>Dinas Pekerjaan Umum dan Penataan Ruang (Bidang Bina Marga)</w:t>
            </w:r>
          </w:p>
        </w:tc>
        <w:tc>
          <w:tcPr>
            <w:tcW w:w="4445" w:type="dxa"/>
            <w:tcBorders>
              <w:top w:val="nil"/>
              <w:left w:val="single" w:sz="4" w:space="0" w:color="auto"/>
              <w:bottom w:val="single" w:sz="4" w:space="0" w:color="auto"/>
              <w:right w:val="single" w:sz="4" w:space="0" w:color="auto"/>
            </w:tcBorders>
            <w:vAlign w:val="center"/>
            <w:hideMark/>
          </w:tcPr>
          <w:p w14:paraId="32A04A7D" w14:textId="045F3292" w:rsidR="0054757E" w:rsidRPr="00E619C8" w:rsidRDefault="0054757E" w:rsidP="00B21013">
            <w:pPr>
              <w:rPr>
                <w:rFonts w:ascii="Arial" w:hAnsi="Arial" w:cs="Arial"/>
                <w:color w:val="000000"/>
                <w:sz w:val="22"/>
                <w:szCs w:val="22"/>
              </w:rPr>
            </w:pPr>
            <w:r w:rsidRPr="00E619C8">
              <w:rPr>
                <w:rFonts w:ascii="Arial" w:hAnsi="Arial" w:cs="Arial"/>
                <w:color w:val="000000"/>
                <w:sz w:val="22"/>
                <w:szCs w:val="22"/>
              </w:rPr>
              <w:t>9.2 Rekonstruksi Ruas Jalan Tanjung Geres - Pohgading - Pringgabaya</w:t>
            </w:r>
          </w:p>
        </w:tc>
        <w:tc>
          <w:tcPr>
            <w:tcW w:w="1336" w:type="dxa"/>
            <w:tcBorders>
              <w:top w:val="nil"/>
              <w:left w:val="nil"/>
              <w:bottom w:val="single" w:sz="4" w:space="0" w:color="auto"/>
              <w:right w:val="single" w:sz="4" w:space="0" w:color="auto"/>
            </w:tcBorders>
            <w:vAlign w:val="center"/>
            <w:hideMark/>
          </w:tcPr>
          <w:p w14:paraId="4A5660EC" w14:textId="77777777" w:rsidR="0054757E" w:rsidRPr="00E619C8" w:rsidRDefault="0054757E" w:rsidP="007F3E4C">
            <w:pPr>
              <w:spacing w:line="276" w:lineRule="auto"/>
              <w:jc w:val="center"/>
              <w:rPr>
                <w:rFonts w:ascii="Arial" w:hAnsi="Arial" w:cs="Arial"/>
                <w:color w:val="000000"/>
                <w:sz w:val="22"/>
                <w:szCs w:val="22"/>
              </w:rPr>
            </w:pPr>
            <w:r w:rsidRPr="00E619C8">
              <w:rPr>
                <w:rFonts w:ascii="Arial" w:hAnsi="Arial" w:cs="Arial"/>
                <w:color w:val="000000"/>
                <w:sz w:val="22"/>
                <w:szCs w:val="22"/>
              </w:rPr>
              <w:t>35.60</w:t>
            </w:r>
          </w:p>
        </w:tc>
      </w:tr>
      <w:tr w:rsidR="0054757E" w:rsidRPr="00E619C8" w14:paraId="23B7E307" w14:textId="77777777" w:rsidTr="0054757E">
        <w:trPr>
          <w:trHeight w:val="576"/>
          <w:jc w:val="center"/>
        </w:trPr>
        <w:tc>
          <w:tcPr>
            <w:tcW w:w="754" w:type="dxa"/>
            <w:tcBorders>
              <w:top w:val="nil"/>
              <w:left w:val="single" w:sz="4" w:space="0" w:color="auto"/>
              <w:bottom w:val="single" w:sz="4" w:space="0" w:color="auto"/>
              <w:right w:val="single" w:sz="4" w:space="0" w:color="auto"/>
            </w:tcBorders>
            <w:vAlign w:val="center"/>
          </w:tcPr>
          <w:p w14:paraId="648B2AB4" w14:textId="17AA6F7F" w:rsidR="0054757E" w:rsidRPr="00E619C8" w:rsidRDefault="0054757E" w:rsidP="007F3E4C">
            <w:pPr>
              <w:spacing w:line="276" w:lineRule="auto"/>
              <w:jc w:val="center"/>
              <w:rPr>
                <w:rFonts w:ascii="Arial" w:hAnsi="Arial" w:cs="Arial"/>
                <w:color w:val="000000"/>
                <w:sz w:val="22"/>
                <w:szCs w:val="22"/>
              </w:rPr>
            </w:pPr>
            <w:r w:rsidRPr="00E619C8">
              <w:rPr>
                <w:rFonts w:ascii="Arial" w:hAnsi="Arial" w:cs="Arial"/>
                <w:color w:val="000000"/>
                <w:sz w:val="22"/>
                <w:szCs w:val="22"/>
              </w:rPr>
              <w:t>3</w:t>
            </w:r>
          </w:p>
        </w:tc>
        <w:tc>
          <w:tcPr>
            <w:tcW w:w="2481" w:type="dxa"/>
            <w:tcBorders>
              <w:top w:val="single" w:sz="4" w:space="0" w:color="auto"/>
              <w:left w:val="nil"/>
              <w:bottom w:val="single" w:sz="4" w:space="0" w:color="auto"/>
              <w:right w:val="single" w:sz="4" w:space="0" w:color="auto"/>
            </w:tcBorders>
            <w:vAlign w:val="center"/>
          </w:tcPr>
          <w:p w14:paraId="66B8E5B1" w14:textId="75FA1CD8" w:rsidR="0054757E" w:rsidRPr="00E619C8" w:rsidRDefault="0054757E" w:rsidP="00B21013">
            <w:pPr>
              <w:rPr>
                <w:rFonts w:ascii="Arial" w:hAnsi="Arial" w:cs="Arial"/>
                <w:color w:val="000000"/>
                <w:sz w:val="22"/>
                <w:szCs w:val="22"/>
              </w:rPr>
            </w:pPr>
            <w:r w:rsidRPr="00E619C8">
              <w:rPr>
                <w:rFonts w:ascii="Arial" w:hAnsi="Arial" w:cs="Arial"/>
                <w:color w:val="000000"/>
                <w:sz w:val="22"/>
                <w:szCs w:val="22"/>
              </w:rPr>
              <w:t>Dinas Koperasi Usaha Kecil dan Menengah</w:t>
            </w:r>
          </w:p>
        </w:tc>
        <w:tc>
          <w:tcPr>
            <w:tcW w:w="4445" w:type="dxa"/>
            <w:tcBorders>
              <w:top w:val="nil"/>
              <w:left w:val="single" w:sz="4" w:space="0" w:color="auto"/>
              <w:bottom w:val="single" w:sz="4" w:space="0" w:color="auto"/>
              <w:right w:val="single" w:sz="4" w:space="0" w:color="auto"/>
            </w:tcBorders>
            <w:vAlign w:val="center"/>
            <w:hideMark/>
          </w:tcPr>
          <w:p w14:paraId="49F23380" w14:textId="1AEF3B0B" w:rsidR="0054757E" w:rsidRPr="00E619C8" w:rsidRDefault="0054757E" w:rsidP="00B21013">
            <w:pPr>
              <w:rPr>
                <w:rFonts w:ascii="Arial" w:hAnsi="Arial" w:cs="Arial"/>
                <w:color w:val="000000"/>
                <w:sz w:val="22"/>
                <w:szCs w:val="22"/>
              </w:rPr>
            </w:pPr>
            <w:r w:rsidRPr="00E619C8">
              <w:rPr>
                <w:rFonts w:ascii="Arial" w:hAnsi="Arial" w:cs="Arial"/>
                <w:color w:val="000000"/>
                <w:sz w:val="22"/>
                <w:szCs w:val="22"/>
              </w:rPr>
              <w:t>2.2 Bangunan Gedung PLUT KUKM Provinsi NTB</w:t>
            </w:r>
          </w:p>
        </w:tc>
        <w:tc>
          <w:tcPr>
            <w:tcW w:w="1336" w:type="dxa"/>
            <w:tcBorders>
              <w:top w:val="nil"/>
              <w:left w:val="nil"/>
              <w:bottom w:val="single" w:sz="4" w:space="0" w:color="auto"/>
              <w:right w:val="single" w:sz="4" w:space="0" w:color="auto"/>
            </w:tcBorders>
            <w:vAlign w:val="center"/>
            <w:hideMark/>
          </w:tcPr>
          <w:p w14:paraId="6BAE95DB" w14:textId="77777777" w:rsidR="0054757E" w:rsidRPr="00E619C8" w:rsidRDefault="0054757E" w:rsidP="007F3E4C">
            <w:pPr>
              <w:spacing w:line="276" w:lineRule="auto"/>
              <w:jc w:val="center"/>
              <w:rPr>
                <w:rFonts w:ascii="Arial" w:hAnsi="Arial" w:cs="Arial"/>
                <w:color w:val="000000"/>
                <w:sz w:val="22"/>
                <w:szCs w:val="22"/>
              </w:rPr>
            </w:pPr>
            <w:r w:rsidRPr="00E619C8">
              <w:rPr>
                <w:rFonts w:ascii="Arial" w:hAnsi="Arial" w:cs="Arial"/>
                <w:color w:val="000000"/>
                <w:sz w:val="22"/>
                <w:szCs w:val="22"/>
              </w:rPr>
              <w:t>35.30</w:t>
            </w:r>
          </w:p>
        </w:tc>
      </w:tr>
      <w:tr w:rsidR="0054757E" w:rsidRPr="00E619C8" w14:paraId="6169999C" w14:textId="77777777" w:rsidTr="0054757E">
        <w:trPr>
          <w:trHeight w:val="648"/>
          <w:jc w:val="center"/>
        </w:trPr>
        <w:tc>
          <w:tcPr>
            <w:tcW w:w="754" w:type="dxa"/>
            <w:tcBorders>
              <w:top w:val="nil"/>
              <w:left w:val="single" w:sz="4" w:space="0" w:color="auto"/>
              <w:bottom w:val="single" w:sz="4" w:space="0" w:color="auto"/>
              <w:right w:val="single" w:sz="4" w:space="0" w:color="auto"/>
            </w:tcBorders>
            <w:vAlign w:val="center"/>
          </w:tcPr>
          <w:p w14:paraId="608D4FBE" w14:textId="23F236B5" w:rsidR="0054757E" w:rsidRPr="00E619C8" w:rsidRDefault="0054757E" w:rsidP="007F3E4C">
            <w:pPr>
              <w:spacing w:line="276" w:lineRule="auto"/>
              <w:jc w:val="center"/>
              <w:rPr>
                <w:rFonts w:ascii="Arial" w:hAnsi="Arial" w:cs="Arial"/>
                <w:color w:val="000000"/>
                <w:sz w:val="22"/>
                <w:szCs w:val="22"/>
              </w:rPr>
            </w:pPr>
            <w:r w:rsidRPr="00E619C8">
              <w:rPr>
                <w:rFonts w:ascii="Arial" w:hAnsi="Arial" w:cs="Arial"/>
                <w:color w:val="000000"/>
                <w:sz w:val="22"/>
                <w:szCs w:val="22"/>
              </w:rPr>
              <w:t>4</w:t>
            </w:r>
          </w:p>
        </w:tc>
        <w:tc>
          <w:tcPr>
            <w:tcW w:w="2481" w:type="dxa"/>
            <w:tcBorders>
              <w:top w:val="single" w:sz="4" w:space="0" w:color="auto"/>
              <w:left w:val="nil"/>
              <w:bottom w:val="single" w:sz="4" w:space="0" w:color="auto"/>
              <w:right w:val="single" w:sz="4" w:space="0" w:color="auto"/>
            </w:tcBorders>
            <w:vAlign w:val="center"/>
          </w:tcPr>
          <w:p w14:paraId="57779A3C" w14:textId="173171B9" w:rsidR="0054757E" w:rsidRPr="00E619C8" w:rsidRDefault="0054757E" w:rsidP="00B21013">
            <w:pPr>
              <w:rPr>
                <w:rFonts w:ascii="Arial" w:hAnsi="Arial" w:cs="Arial"/>
                <w:color w:val="000000"/>
                <w:sz w:val="22"/>
                <w:szCs w:val="22"/>
              </w:rPr>
            </w:pPr>
            <w:r w:rsidRPr="00E619C8">
              <w:rPr>
                <w:rFonts w:ascii="Arial" w:hAnsi="Arial" w:cs="Arial"/>
                <w:color w:val="000000"/>
                <w:sz w:val="22"/>
                <w:szCs w:val="22"/>
              </w:rPr>
              <w:t>Dinas Pertanian dan Perkebunan</w:t>
            </w:r>
          </w:p>
        </w:tc>
        <w:tc>
          <w:tcPr>
            <w:tcW w:w="4445" w:type="dxa"/>
            <w:tcBorders>
              <w:top w:val="nil"/>
              <w:left w:val="single" w:sz="4" w:space="0" w:color="auto"/>
              <w:bottom w:val="single" w:sz="4" w:space="0" w:color="auto"/>
              <w:right w:val="single" w:sz="4" w:space="0" w:color="auto"/>
            </w:tcBorders>
            <w:vAlign w:val="center"/>
            <w:hideMark/>
          </w:tcPr>
          <w:p w14:paraId="283921D0" w14:textId="5E50A931" w:rsidR="0054757E" w:rsidRPr="00E619C8" w:rsidRDefault="0054757E" w:rsidP="00B21013">
            <w:pPr>
              <w:rPr>
                <w:rFonts w:ascii="Arial" w:hAnsi="Arial" w:cs="Arial"/>
                <w:color w:val="000000"/>
                <w:sz w:val="22"/>
                <w:szCs w:val="22"/>
              </w:rPr>
            </w:pPr>
            <w:r w:rsidRPr="00E619C8">
              <w:rPr>
                <w:rFonts w:ascii="Arial" w:hAnsi="Arial" w:cs="Arial"/>
                <w:color w:val="000000"/>
                <w:sz w:val="22"/>
                <w:szCs w:val="22"/>
              </w:rPr>
              <w:t>11.2 Pembangunan Laboratorium Agens Hayati</w:t>
            </w:r>
          </w:p>
        </w:tc>
        <w:tc>
          <w:tcPr>
            <w:tcW w:w="1336" w:type="dxa"/>
            <w:tcBorders>
              <w:top w:val="nil"/>
              <w:left w:val="nil"/>
              <w:bottom w:val="single" w:sz="4" w:space="0" w:color="auto"/>
              <w:right w:val="single" w:sz="4" w:space="0" w:color="auto"/>
            </w:tcBorders>
            <w:vAlign w:val="center"/>
            <w:hideMark/>
          </w:tcPr>
          <w:p w14:paraId="32D2F0B8" w14:textId="77777777" w:rsidR="0054757E" w:rsidRPr="00E619C8" w:rsidRDefault="0054757E" w:rsidP="007F3E4C">
            <w:pPr>
              <w:spacing w:line="276" w:lineRule="auto"/>
              <w:jc w:val="center"/>
              <w:rPr>
                <w:rFonts w:ascii="Arial" w:hAnsi="Arial" w:cs="Arial"/>
                <w:color w:val="000000"/>
                <w:sz w:val="22"/>
                <w:szCs w:val="22"/>
              </w:rPr>
            </w:pPr>
            <w:r w:rsidRPr="00E619C8">
              <w:rPr>
                <w:rFonts w:ascii="Arial" w:hAnsi="Arial" w:cs="Arial"/>
                <w:color w:val="000000"/>
                <w:sz w:val="22"/>
                <w:szCs w:val="22"/>
              </w:rPr>
              <w:t>34.10</w:t>
            </w:r>
          </w:p>
        </w:tc>
      </w:tr>
      <w:tr w:rsidR="0054757E" w:rsidRPr="00E619C8" w14:paraId="6B352483" w14:textId="77777777" w:rsidTr="0054757E">
        <w:trPr>
          <w:trHeight w:val="576"/>
          <w:jc w:val="center"/>
        </w:trPr>
        <w:tc>
          <w:tcPr>
            <w:tcW w:w="754" w:type="dxa"/>
            <w:tcBorders>
              <w:top w:val="nil"/>
              <w:left w:val="single" w:sz="4" w:space="0" w:color="auto"/>
              <w:bottom w:val="single" w:sz="4" w:space="0" w:color="auto"/>
              <w:right w:val="single" w:sz="4" w:space="0" w:color="auto"/>
            </w:tcBorders>
            <w:vAlign w:val="center"/>
          </w:tcPr>
          <w:p w14:paraId="2B36DC8D" w14:textId="06A8E1DA" w:rsidR="0054757E" w:rsidRPr="00E619C8" w:rsidRDefault="0054757E" w:rsidP="007F3E4C">
            <w:pPr>
              <w:spacing w:line="276" w:lineRule="auto"/>
              <w:jc w:val="center"/>
              <w:rPr>
                <w:rFonts w:ascii="Arial" w:hAnsi="Arial" w:cs="Arial"/>
                <w:color w:val="000000"/>
                <w:sz w:val="22"/>
                <w:szCs w:val="22"/>
              </w:rPr>
            </w:pPr>
            <w:r w:rsidRPr="00E619C8">
              <w:rPr>
                <w:rFonts w:ascii="Arial" w:hAnsi="Arial" w:cs="Arial"/>
                <w:color w:val="000000"/>
                <w:sz w:val="22"/>
                <w:szCs w:val="22"/>
              </w:rPr>
              <w:t>5</w:t>
            </w:r>
          </w:p>
        </w:tc>
        <w:tc>
          <w:tcPr>
            <w:tcW w:w="2481" w:type="dxa"/>
            <w:tcBorders>
              <w:top w:val="single" w:sz="4" w:space="0" w:color="auto"/>
              <w:left w:val="nil"/>
              <w:bottom w:val="single" w:sz="4" w:space="0" w:color="auto"/>
              <w:right w:val="single" w:sz="4" w:space="0" w:color="auto"/>
            </w:tcBorders>
            <w:vAlign w:val="center"/>
          </w:tcPr>
          <w:p w14:paraId="1280C265" w14:textId="5EE4855F" w:rsidR="0054757E" w:rsidRPr="00E619C8" w:rsidRDefault="0054757E" w:rsidP="00B21013">
            <w:pPr>
              <w:rPr>
                <w:rFonts w:ascii="Arial" w:hAnsi="Arial" w:cs="Arial"/>
                <w:color w:val="000000"/>
                <w:sz w:val="22"/>
                <w:szCs w:val="22"/>
              </w:rPr>
            </w:pPr>
            <w:r w:rsidRPr="00E619C8">
              <w:rPr>
                <w:rFonts w:ascii="Arial" w:hAnsi="Arial" w:cs="Arial"/>
                <w:color w:val="000000"/>
                <w:sz w:val="22"/>
                <w:szCs w:val="22"/>
              </w:rPr>
              <w:t>Dinas Koperasi Usaha Kecil dan Menengah</w:t>
            </w:r>
          </w:p>
        </w:tc>
        <w:tc>
          <w:tcPr>
            <w:tcW w:w="4445" w:type="dxa"/>
            <w:tcBorders>
              <w:top w:val="nil"/>
              <w:left w:val="single" w:sz="4" w:space="0" w:color="auto"/>
              <w:bottom w:val="single" w:sz="4" w:space="0" w:color="auto"/>
              <w:right w:val="single" w:sz="4" w:space="0" w:color="auto"/>
            </w:tcBorders>
            <w:vAlign w:val="center"/>
            <w:hideMark/>
          </w:tcPr>
          <w:p w14:paraId="72B7CFC2" w14:textId="2264DD0B" w:rsidR="0054757E" w:rsidRPr="00E619C8" w:rsidRDefault="0054757E" w:rsidP="00B21013">
            <w:pPr>
              <w:rPr>
                <w:rFonts w:ascii="Arial" w:hAnsi="Arial" w:cs="Arial"/>
                <w:color w:val="000000"/>
                <w:sz w:val="22"/>
                <w:szCs w:val="22"/>
              </w:rPr>
            </w:pPr>
            <w:r w:rsidRPr="00E619C8">
              <w:rPr>
                <w:rFonts w:ascii="Arial" w:hAnsi="Arial" w:cs="Arial"/>
                <w:color w:val="000000"/>
                <w:sz w:val="22"/>
                <w:szCs w:val="22"/>
              </w:rPr>
              <w:t>2.1 Revitalisasi Gedung Pusat Layanan Usaha Terpadu (PLUT)</w:t>
            </w:r>
          </w:p>
        </w:tc>
        <w:tc>
          <w:tcPr>
            <w:tcW w:w="1336" w:type="dxa"/>
            <w:tcBorders>
              <w:top w:val="nil"/>
              <w:left w:val="nil"/>
              <w:bottom w:val="single" w:sz="4" w:space="0" w:color="auto"/>
              <w:right w:val="single" w:sz="4" w:space="0" w:color="auto"/>
            </w:tcBorders>
            <w:vAlign w:val="center"/>
            <w:hideMark/>
          </w:tcPr>
          <w:p w14:paraId="10AA2AB5" w14:textId="77777777" w:rsidR="0054757E" w:rsidRPr="00E619C8" w:rsidRDefault="0054757E" w:rsidP="007F3E4C">
            <w:pPr>
              <w:spacing w:line="276" w:lineRule="auto"/>
              <w:jc w:val="center"/>
              <w:rPr>
                <w:rFonts w:ascii="Arial" w:hAnsi="Arial" w:cs="Arial"/>
                <w:color w:val="000000"/>
                <w:sz w:val="22"/>
                <w:szCs w:val="22"/>
              </w:rPr>
            </w:pPr>
            <w:r w:rsidRPr="00E619C8">
              <w:rPr>
                <w:rFonts w:ascii="Arial" w:hAnsi="Arial" w:cs="Arial"/>
                <w:color w:val="000000"/>
                <w:sz w:val="22"/>
                <w:szCs w:val="22"/>
              </w:rPr>
              <w:t>32.30</w:t>
            </w:r>
          </w:p>
        </w:tc>
      </w:tr>
      <w:tr w:rsidR="0054757E" w:rsidRPr="00E619C8" w14:paraId="73D0B3CA" w14:textId="77777777" w:rsidTr="0054757E">
        <w:trPr>
          <w:trHeight w:val="576"/>
          <w:jc w:val="center"/>
        </w:trPr>
        <w:tc>
          <w:tcPr>
            <w:tcW w:w="754" w:type="dxa"/>
            <w:tcBorders>
              <w:top w:val="nil"/>
              <w:left w:val="single" w:sz="4" w:space="0" w:color="auto"/>
              <w:bottom w:val="single" w:sz="4" w:space="0" w:color="auto"/>
              <w:right w:val="single" w:sz="4" w:space="0" w:color="auto"/>
            </w:tcBorders>
            <w:vAlign w:val="center"/>
          </w:tcPr>
          <w:p w14:paraId="70C6AFB8" w14:textId="29755EEC" w:rsidR="0054757E" w:rsidRPr="00E619C8" w:rsidRDefault="0054757E" w:rsidP="007F3E4C">
            <w:pPr>
              <w:spacing w:line="276" w:lineRule="auto"/>
              <w:jc w:val="center"/>
              <w:rPr>
                <w:rFonts w:ascii="Arial" w:hAnsi="Arial" w:cs="Arial"/>
                <w:color w:val="000000"/>
                <w:sz w:val="22"/>
                <w:szCs w:val="22"/>
              </w:rPr>
            </w:pPr>
            <w:r w:rsidRPr="00E619C8">
              <w:rPr>
                <w:rFonts w:ascii="Arial" w:hAnsi="Arial" w:cs="Arial"/>
                <w:color w:val="000000"/>
                <w:sz w:val="22"/>
                <w:szCs w:val="22"/>
              </w:rPr>
              <w:t>6</w:t>
            </w:r>
          </w:p>
        </w:tc>
        <w:tc>
          <w:tcPr>
            <w:tcW w:w="2481" w:type="dxa"/>
            <w:tcBorders>
              <w:top w:val="single" w:sz="4" w:space="0" w:color="auto"/>
              <w:left w:val="nil"/>
              <w:bottom w:val="single" w:sz="4" w:space="0" w:color="auto"/>
              <w:right w:val="single" w:sz="4" w:space="0" w:color="auto"/>
            </w:tcBorders>
            <w:vAlign w:val="center"/>
          </w:tcPr>
          <w:p w14:paraId="6B3AA84C" w14:textId="7FDD6C11" w:rsidR="0054757E" w:rsidRPr="00E619C8" w:rsidRDefault="0054757E" w:rsidP="00B21013">
            <w:pPr>
              <w:rPr>
                <w:rFonts w:ascii="Arial" w:hAnsi="Arial" w:cs="Arial"/>
                <w:color w:val="000000"/>
                <w:sz w:val="22"/>
                <w:szCs w:val="22"/>
              </w:rPr>
            </w:pPr>
            <w:r w:rsidRPr="00E619C8">
              <w:rPr>
                <w:rFonts w:ascii="Arial" w:hAnsi="Arial" w:cs="Arial"/>
                <w:color w:val="000000"/>
                <w:sz w:val="22"/>
                <w:szCs w:val="22"/>
              </w:rPr>
              <w:t>Rumah Sakit H. L. Manambai Abdul Kadir</w:t>
            </w:r>
          </w:p>
        </w:tc>
        <w:tc>
          <w:tcPr>
            <w:tcW w:w="4445" w:type="dxa"/>
            <w:tcBorders>
              <w:top w:val="nil"/>
              <w:left w:val="single" w:sz="4" w:space="0" w:color="auto"/>
              <w:bottom w:val="single" w:sz="4" w:space="0" w:color="auto"/>
              <w:right w:val="single" w:sz="4" w:space="0" w:color="auto"/>
            </w:tcBorders>
            <w:vAlign w:val="center"/>
            <w:hideMark/>
          </w:tcPr>
          <w:p w14:paraId="1150290C" w14:textId="70AE5689" w:rsidR="0054757E" w:rsidRPr="00E619C8" w:rsidRDefault="0054757E" w:rsidP="00B21013">
            <w:pPr>
              <w:rPr>
                <w:rFonts w:ascii="Arial" w:hAnsi="Arial" w:cs="Arial"/>
                <w:color w:val="000000"/>
                <w:sz w:val="22"/>
                <w:szCs w:val="22"/>
              </w:rPr>
            </w:pPr>
            <w:r w:rsidRPr="00E619C8">
              <w:rPr>
                <w:rFonts w:ascii="Arial" w:hAnsi="Arial" w:cs="Arial"/>
                <w:color w:val="000000"/>
                <w:sz w:val="22"/>
                <w:szCs w:val="22"/>
              </w:rPr>
              <w:t>12.2 Pembangunan Gedung Stroke Center</w:t>
            </w:r>
          </w:p>
        </w:tc>
        <w:tc>
          <w:tcPr>
            <w:tcW w:w="1336" w:type="dxa"/>
            <w:tcBorders>
              <w:top w:val="nil"/>
              <w:left w:val="nil"/>
              <w:bottom w:val="single" w:sz="4" w:space="0" w:color="auto"/>
              <w:right w:val="single" w:sz="4" w:space="0" w:color="auto"/>
            </w:tcBorders>
            <w:vAlign w:val="center"/>
            <w:hideMark/>
          </w:tcPr>
          <w:p w14:paraId="4B4366EF" w14:textId="77777777" w:rsidR="0054757E" w:rsidRPr="00E619C8" w:rsidRDefault="0054757E" w:rsidP="007F3E4C">
            <w:pPr>
              <w:spacing w:line="276" w:lineRule="auto"/>
              <w:jc w:val="center"/>
              <w:rPr>
                <w:rFonts w:ascii="Arial" w:hAnsi="Arial" w:cs="Arial"/>
                <w:color w:val="000000"/>
                <w:sz w:val="22"/>
                <w:szCs w:val="22"/>
              </w:rPr>
            </w:pPr>
            <w:r w:rsidRPr="00E619C8">
              <w:rPr>
                <w:rFonts w:ascii="Arial" w:hAnsi="Arial" w:cs="Arial"/>
                <w:color w:val="000000"/>
                <w:sz w:val="22"/>
                <w:szCs w:val="22"/>
              </w:rPr>
              <w:t>32.20</w:t>
            </w:r>
          </w:p>
        </w:tc>
      </w:tr>
      <w:tr w:rsidR="0054757E" w:rsidRPr="00E619C8" w14:paraId="41B73265" w14:textId="77777777" w:rsidTr="0054757E">
        <w:trPr>
          <w:trHeight w:val="288"/>
          <w:jc w:val="center"/>
        </w:trPr>
        <w:tc>
          <w:tcPr>
            <w:tcW w:w="754" w:type="dxa"/>
            <w:tcBorders>
              <w:top w:val="nil"/>
              <w:left w:val="single" w:sz="4" w:space="0" w:color="auto"/>
              <w:bottom w:val="single" w:sz="4" w:space="0" w:color="auto"/>
              <w:right w:val="single" w:sz="4" w:space="0" w:color="auto"/>
            </w:tcBorders>
            <w:vAlign w:val="center"/>
          </w:tcPr>
          <w:p w14:paraId="288E4BD6" w14:textId="6B0D9FD8" w:rsidR="0054757E" w:rsidRPr="00E619C8" w:rsidRDefault="0054757E" w:rsidP="007F3E4C">
            <w:pPr>
              <w:spacing w:line="276" w:lineRule="auto"/>
              <w:jc w:val="center"/>
              <w:rPr>
                <w:rFonts w:ascii="Arial" w:hAnsi="Arial" w:cs="Arial"/>
                <w:color w:val="000000"/>
                <w:sz w:val="22"/>
                <w:szCs w:val="22"/>
              </w:rPr>
            </w:pPr>
            <w:r w:rsidRPr="00E619C8">
              <w:rPr>
                <w:rFonts w:ascii="Arial" w:hAnsi="Arial" w:cs="Arial"/>
                <w:color w:val="000000"/>
                <w:sz w:val="22"/>
                <w:szCs w:val="22"/>
              </w:rPr>
              <w:t>7</w:t>
            </w:r>
          </w:p>
        </w:tc>
        <w:tc>
          <w:tcPr>
            <w:tcW w:w="2481" w:type="dxa"/>
            <w:tcBorders>
              <w:top w:val="single" w:sz="4" w:space="0" w:color="auto"/>
              <w:left w:val="nil"/>
              <w:bottom w:val="single" w:sz="4" w:space="0" w:color="auto"/>
              <w:right w:val="single" w:sz="4" w:space="0" w:color="auto"/>
            </w:tcBorders>
            <w:vAlign w:val="center"/>
          </w:tcPr>
          <w:p w14:paraId="6800E59E" w14:textId="6C87D138" w:rsidR="0054757E" w:rsidRPr="00E619C8" w:rsidRDefault="0054757E" w:rsidP="00B21013">
            <w:pPr>
              <w:rPr>
                <w:rFonts w:ascii="Arial" w:hAnsi="Arial" w:cs="Arial"/>
                <w:color w:val="000000"/>
                <w:sz w:val="22"/>
                <w:szCs w:val="22"/>
              </w:rPr>
            </w:pPr>
            <w:r w:rsidRPr="00E619C8">
              <w:rPr>
                <w:rFonts w:ascii="Arial" w:hAnsi="Arial" w:cs="Arial"/>
                <w:color w:val="000000"/>
                <w:sz w:val="22"/>
                <w:szCs w:val="22"/>
              </w:rPr>
              <w:t>Dinas Pariwisata</w:t>
            </w:r>
          </w:p>
        </w:tc>
        <w:tc>
          <w:tcPr>
            <w:tcW w:w="4445" w:type="dxa"/>
            <w:tcBorders>
              <w:top w:val="nil"/>
              <w:left w:val="single" w:sz="4" w:space="0" w:color="auto"/>
              <w:bottom w:val="single" w:sz="4" w:space="0" w:color="auto"/>
              <w:right w:val="single" w:sz="4" w:space="0" w:color="auto"/>
            </w:tcBorders>
            <w:vAlign w:val="center"/>
            <w:hideMark/>
          </w:tcPr>
          <w:p w14:paraId="76002987" w14:textId="4457666B" w:rsidR="0054757E" w:rsidRPr="00E619C8" w:rsidRDefault="0054757E" w:rsidP="00B21013">
            <w:pPr>
              <w:rPr>
                <w:rFonts w:ascii="Arial" w:hAnsi="Arial" w:cs="Arial"/>
                <w:color w:val="000000"/>
                <w:sz w:val="22"/>
                <w:szCs w:val="22"/>
              </w:rPr>
            </w:pPr>
            <w:r w:rsidRPr="00E619C8">
              <w:rPr>
                <w:rFonts w:ascii="Arial" w:hAnsi="Arial" w:cs="Arial"/>
                <w:color w:val="000000"/>
                <w:sz w:val="22"/>
                <w:szCs w:val="22"/>
              </w:rPr>
              <w:t>8.1 Pembangunan Pasar Seni Senggigi</w:t>
            </w:r>
          </w:p>
        </w:tc>
        <w:tc>
          <w:tcPr>
            <w:tcW w:w="1336" w:type="dxa"/>
            <w:tcBorders>
              <w:top w:val="nil"/>
              <w:left w:val="nil"/>
              <w:bottom w:val="single" w:sz="4" w:space="0" w:color="auto"/>
              <w:right w:val="single" w:sz="4" w:space="0" w:color="auto"/>
            </w:tcBorders>
            <w:vAlign w:val="center"/>
            <w:hideMark/>
          </w:tcPr>
          <w:p w14:paraId="7F46299C" w14:textId="77777777" w:rsidR="0054757E" w:rsidRPr="00E619C8" w:rsidRDefault="0054757E" w:rsidP="007F3E4C">
            <w:pPr>
              <w:spacing w:line="276" w:lineRule="auto"/>
              <w:jc w:val="center"/>
              <w:rPr>
                <w:rFonts w:ascii="Arial" w:hAnsi="Arial" w:cs="Arial"/>
                <w:color w:val="000000"/>
                <w:sz w:val="22"/>
                <w:szCs w:val="22"/>
              </w:rPr>
            </w:pPr>
            <w:r w:rsidRPr="00E619C8">
              <w:rPr>
                <w:rFonts w:ascii="Arial" w:hAnsi="Arial" w:cs="Arial"/>
                <w:color w:val="000000"/>
                <w:sz w:val="22"/>
                <w:szCs w:val="22"/>
              </w:rPr>
              <w:t>31.60</w:t>
            </w:r>
          </w:p>
        </w:tc>
      </w:tr>
      <w:tr w:rsidR="0054757E" w:rsidRPr="00E619C8" w14:paraId="78030ED5" w14:textId="77777777" w:rsidTr="0054757E">
        <w:trPr>
          <w:trHeight w:val="576"/>
          <w:jc w:val="center"/>
        </w:trPr>
        <w:tc>
          <w:tcPr>
            <w:tcW w:w="754" w:type="dxa"/>
            <w:tcBorders>
              <w:top w:val="nil"/>
              <w:left w:val="single" w:sz="4" w:space="0" w:color="auto"/>
              <w:bottom w:val="single" w:sz="4" w:space="0" w:color="auto"/>
              <w:right w:val="single" w:sz="4" w:space="0" w:color="auto"/>
            </w:tcBorders>
            <w:vAlign w:val="center"/>
          </w:tcPr>
          <w:p w14:paraId="2C1515BF" w14:textId="12C11AF3" w:rsidR="0054757E" w:rsidRPr="00E619C8" w:rsidRDefault="0054757E" w:rsidP="007F3E4C">
            <w:pPr>
              <w:spacing w:line="276" w:lineRule="auto"/>
              <w:jc w:val="center"/>
              <w:rPr>
                <w:rFonts w:ascii="Arial" w:hAnsi="Arial" w:cs="Arial"/>
                <w:color w:val="000000"/>
                <w:sz w:val="22"/>
                <w:szCs w:val="22"/>
              </w:rPr>
            </w:pPr>
            <w:r w:rsidRPr="00E619C8">
              <w:rPr>
                <w:rFonts w:ascii="Arial" w:hAnsi="Arial" w:cs="Arial"/>
                <w:color w:val="000000"/>
                <w:sz w:val="22"/>
                <w:szCs w:val="22"/>
              </w:rPr>
              <w:t>8</w:t>
            </w:r>
          </w:p>
        </w:tc>
        <w:tc>
          <w:tcPr>
            <w:tcW w:w="2481" w:type="dxa"/>
            <w:tcBorders>
              <w:top w:val="single" w:sz="4" w:space="0" w:color="auto"/>
              <w:left w:val="nil"/>
              <w:bottom w:val="single" w:sz="4" w:space="0" w:color="auto"/>
              <w:right w:val="single" w:sz="4" w:space="0" w:color="auto"/>
            </w:tcBorders>
            <w:vAlign w:val="center"/>
          </w:tcPr>
          <w:p w14:paraId="155CB1F5" w14:textId="605915CE" w:rsidR="0054757E" w:rsidRPr="00E619C8" w:rsidRDefault="0054757E" w:rsidP="00B21013">
            <w:pPr>
              <w:rPr>
                <w:rFonts w:ascii="Arial" w:hAnsi="Arial" w:cs="Arial"/>
                <w:color w:val="000000"/>
                <w:sz w:val="22"/>
                <w:szCs w:val="22"/>
              </w:rPr>
            </w:pPr>
            <w:r w:rsidRPr="00E619C8">
              <w:rPr>
                <w:rFonts w:ascii="Arial" w:hAnsi="Arial" w:cs="Arial"/>
                <w:color w:val="000000"/>
                <w:sz w:val="22"/>
                <w:szCs w:val="22"/>
              </w:rPr>
              <w:t>Dinas Pemuda dan Olahraga</w:t>
            </w:r>
          </w:p>
        </w:tc>
        <w:tc>
          <w:tcPr>
            <w:tcW w:w="4445" w:type="dxa"/>
            <w:tcBorders>
              <w:top w:val="nil"/>
              <w:left w:val="single" w:sz="4" w:space="0" w:color="auto"/>
              <w:bottom w:val="single" w:sz="4" w:space="0" w:color="auto"/>
              <w:right w:val="single" w:sz="4" w:space="0" w:color="auto"/>
            </w:tcBorders>
            <w:vAlign w:val="center"/>
            <w:hideMark/>
          </w:tcPr>
          <w:p w14:paraId="3FF01E0C" w14:textId="0575DAEF" w:rsidR="0054757E" w:rsidRPr="00E619C8" w:rsidRDefault="0054757E" w:rsidP="00B21013">
            <w:pPr>
              <w:rPr>
                <w:rFonts w:ascii="Arial" w:hAnsi="Arial" w:cs="Arial"/>
                <w:color w:val="000000"/>
                <w:sz w:val="22"/>
                <w:szCs w:val="22"/>
              </w:rPr>
            </w:pPr>
            <w:r w:rsidRPr="00E619C8">
              <w:rPr>
                <w:rFonts w:ascii="Arial" w:hAnsi="Arial" w:cs="Arial"/>
                <w:color w:val="000000"/>
                <w:sz w:val="22"/>
                <w:szCs w:val="22"/>
              </w:rPr>
              <w:t>4.1 Pembangunan Lapangan Bulu Tangkis Yayasan Permata Hati Islamic School</w:t>
            </w:r>
          </w:p>
        </w:tc>
        <w:tc>
          <w:tcPr>
            <w:tcW w:w="1336" w:type="dxa"/>
            <w:tcBorders>
              <w:top w:val="nil"/>
              <w:left w:val="nil"/>
              <w:bottom w:val="single" w:sz="4" w:space="0" w:color="auto"/>
              <w:right w:val="single" w:sz="4" w:space="0" w:color="auto"/>
            </w:tcBorders>
            <w:vAlign w:val="center"/>
            <w:hideMark/>
          </w:tcPr>
          <w:p w14:paraId="79BD8E25" w14:textId="77777777" w:rsidR="0054757E" w:rsidRPr="00E619C8" w:rsidRDefault="0054757E" w:rsidP="007F3E4C">
            <w:pPr>
              <w:spacing w:line="276" w:lineRule="auto"/>
              <w:jc w:val="center"/>
              <w:rPr>
                <w:rFonts w:ascii="Arial" w:hAnsi="Arial" w:cs="Arial"/>
                <w:color w:val="000000"/>
                <w:sz w:val="22"/>
                <w:szCs w:val="22"/>
              </w:rPr>
            </w:pPr>
            <w:r w:rsidRPr="00E619C8">
              <w:rPr>
                <w:rFonts w:ascii="Arial" w:hAnsi="Arial" w:cs="Arial"/>
                <w:color w:val="000000"/>
                <w:sz w:val="22"/>
                <w:szCs w:val="22"/>
              </w:rPr>
              <w:t>30.80</w:t>
            </w:r>
          </w:p>
        </w:tc>
      </w:tr>
      <w:tr w:rsidR="0054757E" w:rsidRPr="00E619C8" w14:paraId="4B1F69AD" w14:textId="77777777" w:rsidTr="0054757E">
        <w:trPr>
          <w:trHeight w:val="576"/>
          <w:jc w:val="center"/>
        </w:trPr>
        <w:tc>
          <w:tcPr>
            <w:tcW w:w="754" w:type="dxa"/>
            <w:tcBorders>
              <w:top w:val="nil"/>
              <w:left w:val="single" w:sz="4" w:space="0" w:color="auto"/>
              <w:bottom w:val="single" w:sz="4" w:space="0" w:color="auto"/>
              <w:right w:val="single" w:sz="4" w:space="0" w:color="auto"/>
            </w:tcBorders>
            <w:vAlign w:val="center"/>
          </w:tcPr>
          <w:p w14:paraId="285D0913" w14:textId="38467109" w:rsidR="0054757E" w:rsidRPr="00E619C8" w:rsidRDefault="0054757E" w:rsidP="007F3E4C">
            <w:pPr>
              <w:spacing w:line="276" w:lineRule="auto"/>
              <w:jc w:val="center"/>
              <w:rPr>
                <w:rFonts w:ascii="Arial" w:hAnsi="Arial" w:cs="Arial"/>
                <w:color w:val="000000"/>
                <w:sz w:val="22"/>
                <w:szCs w:val="22"/>
              </w:rPr>
            </w:pPr>
            <w:r w:rsidRPr="00E619C8">
              <w:rPr>
                <w:rFonts w:ascii="Arial" w:hAnsi="Arial" w:cs="Arial"/>
                <w:color w:val="000000"/>
                <w:sz w:val="22"/>
                <w:szCs w:val="22"/>
              </w:rPr>
              <w:t>9</w:t>
            </w:r>
          </w:p>
        </w:tc>
        <w:tc>
          <w:tcPr>
            <w:tcW w:w="2481" w:type="dxa"/>
            <w:tcBorders>
              <w:top w:val="single" w:sz="4" w:space="0" w:color="auto"/>
              <w:left w:val="nil"/>
              <w:bottom w:val="single" w:sz="4" w:space="0" w:color="auto"/>
              <w:right w:val="single" w:sz="4" w:space="0" w:color="auto"/>
            </w:tcBorders>
            <w:vAlign w:val="center"/>
          </w:tcPr>
          <w:p w14:paraId="16B58AAD" w14:textId="54A65E65" w:rsidR="0054757E" w:rsidRPr="00E619C8" w:rsidRDefault="0054757E" w:rsidP="00B21013">
            <w:pPr>
              <w:rPr>
                <w:rFonts w:ascii="Arial" w:hAnsi="Arial" w:cs="Arial"/>
                <w:color w:val="000000"/>
                <w:sz w:val="22"/>
                <w:szCs w:val="22"/>
              </w:rPr>
            </w:pPr>
            <w:r w:rsidRPr="00E619C8">
              <w:rPr>
                <w:rFonts w:ascii="Arial" w:hAnsi="Arial" w:cs="Arial"/>
                <w:color w:val="000000"/>
                <w:sz w:val="22"/>
                <w:szCs w:val="22"/>
              </w:rPr>
              <w:t>Dinas Kelautan dan Perikanan</w:t>
            </w:r>
          </w:p>
        </w:tc>
        <w:tc>
          <w:tcPr>
            <w:tcW w:w="4445" w:type="dxa"/>
            <w:tcBorders>
              <w:top w:val="nil"/>
              <w:left w:val="single" w:sz="4" w:space="0" w:color="auto"/>
              <w:bottom w:val="single" w:sz="4" w:space="0" w:color="auto"/>
              <w:right w:val="single" w:sz="4" w:space="0" w:color="auto"/>
            </w:tcBorders>
            <w:vAlign w:val="center"/>
            <w:hideMark/>
          </w:tcPr>
          <w:p w14:paraId="1431F5F2" w14:textId="2023C126" w:rsidR="0054757E" w:rsidRPr="00E619C8" w:rsidRDefault="0054757E" w:rsidP="00B21013">
            <w:pPr>
              <w:rPr>
                <w:rFonts w:ascii="Arial" w:hAnsi="Arial" w:cs="Arial"/>
                <w:color w:val="000000"/>
                <w:sz w:val="22"/>
                <w:szCs w:val="22"/>
              </w:rPr>
            </w:pPr>
            <w:r w:rsidRPr="00E619C8">
              <w:rPr>
                <w:rFonts w:ascii="Arial" w:hAnsi="Arial" w:cs="Arial"/>
                <w:color w:val="000000"/>
                <w:sz w:val="22"/>
                <w:szCs w:val="22"/>
              </w:rPr>
              <w:t>1.1 Perpanjangan Dermaga dan Fasilitas Pendukungnya Pelabuhan Perikanan Pantai Labuhan Lombok (DAK)</w:t>
            </w:r>
          </w:p>
        </w:tc>
        <w:tc>
          <w:tcPr>
            <w:tcW w:w="1336" w:type="dxa"/>
            <w:tcBorders>
              <w:top w:val="nil"/>
              <w:left w:val="nil"/>
              <w:bottom w:val="single" w:sz="4" w:space="0" w:color="auto"/>
              <w:right w:val="single" w:sz="4" w:space="0" w:color="auto"/>
            </w:tcBorders>
            <w:vAlign w:val="center"/>
            <w:hideMark/>
          </w:tcPr>
          <w:p w14:paraId="5BB508CC" w14:textId="77777777" w:rsidR="0054757E" w:rsidRPr="00E619C8" w:rsidRDefault="0054757E" w:rsidP="007F3E4C">
            <w:pPr>
              <w:spacing w:line="276" w:lineRule="auto"/>
              <w:jc w:val="center"/>
              <w:rPr>
                <w:rFonts w:ascii="Arial" w:hAnsi="Arial" w:cs="Arial"/>
                <w:color w:val="000000"/>
                <w:sz w:val="22"/>
                <w:szCs w:val="22"/>
              </w:rPr>
            </w:pPr>
            <w:r w:rsidRPr="00E619C8">
              <w:rPr>
                <w:rFonts w:ascii="Arial" w:hAnsi="Arial" w:cs="Arial"/>
                <w:color w:val="000000"/>
                <w:sz w:val="22"/>
                <w:szCs w:val="22"/>
              </w:rPr>
              <w:t>29.80</w:t>
            </w:r>
          </w:p>
        </w:tc>
      </w:tr>
      <w:tr w:rsidR="0054757E" w:rsidRPr="00E619C8" w14:paraId="51C29618" w14:textId="77777777" w:rsidTr="0054757E">
        <w:trPr>
          <w:trHeight w:val="288"/>
          <w:jc w:val="center"/>
        </w:trPr>
        <w:tc>
          <w:tcPr>
            <w:tcW w:w="754" w:type="dxa"/>
            <w:tcBorders>
              <w:top w:val="nil"/>
              <w:left w:val="single" w:sz="4" w:space="0" w:color="auto"/>
              <w:bottom w:val="single" w:sz="4" w:space="0" w:color="auto"/>
              <w:right w:val="single" w:sz="4" w:space="0" w:color="auto"/>
            </w:tcBorders>
            <w:vAlign w:val="center"/>
          </w:tcPr>
          <w:p w14:paraId="0F25FD73" w14:textId="7F4226FD" w:rsidR="0054757E" w:rsidRPr="00E619C8" w:rsidRDefault="0054757E" w:rsidP="007F3E4C">
            <w:pPr>
              <w:spacing w:line="276" w:lineRule="auto"/>
              <w:jc w:val="center"/>
              <w:rPr>
                <w:rFonts w:ascii="Arial" w:hAnsi="Arial" w:cs="Arial"/>
                <w:color w:val="000000"/>
                <w:sz w:val="22"/>
                <w:szCs w:val="22"/>
              </w:rPr>
            </w:pPr>
            <w:r w:rsidRPr="00E619C8">
              <w:rPr>
                <w:rFonts w:ascii="Arial" w:hAnsi="Arial" w:cs="Arial"/>
                <w:color w:val="000000"/>
                <w:sz w:val="22"/>
                <w:szCs w:val="22"/>
              </w:rPr>
              <w:t>10</w:t>
            </w:r>
          </w:p>
        </w:tc>
        <w:tc>
          <w:tcPr>
            <w:tcW w:w="2481" w:type="dxa"/>
            <w:tcBorders>
              <w:top w:val="single" w:sz="4" w:space="0" w:color="auto"/>
              <w:left w:val="nil"/>
              <w:bottom w:val="single" w:sz="4" w:space="0" w:color="auto"/>
              <w:right w:val="single" w:sz="4" w:space="0" w:color="auto"/>
            </w:tcBorders>
            <w:vAlign w:val="center"/>
          </w:tcPr>
          <w:p w14:paraId="060D532A" w14:textId="0D802B60" w:rsidR="0054757E" w:rsidRPr="00E619C8" w:rsidRDefault="0054757E" w:rsidP="00B21013">
            <w:pPr>
              <w:rPr>
                <w:rFonts w:ascii="Arial" w:hAnsi="Arial" w:cs="Arial"/>
                <w:color w:val="000000"/>
                <w:sz w:val="22"/>
                <w:szCs w:val="22"/>
              </w:rPr>
            </w:pPr>
            <w:r w:rsidRPr="00E619C8">
              <w:rPr>
                <w:rFonts w:ascii="Arial" w:hAnsi="Arial" w:cs="Arial"/>
                <w:color w:val="000000"/>
                <w:sz w:val="22"/>
                <w:szCs w:val="22"/>
              </w:rPr>
              <w:t>Dinas Kelautan dan Perikanan</w:t>
            </w:r>
          </w:p>
        </w:tc>
        <w:tc>
          <w:tcPr>
            <w:tcW w:w="4445" w:type="dxa"/>
            <w:tcBorders>
              <w:top w:val="nil"/>
              <w:left w:val="single" w:sz="4" w:space="0" w:color="auto"/>
              <w:bottom w:val="single" w:sz="4" w:space="0" w:color="auto"/>
              <w:right w:val="single" w:sz="4" w:space="0" w:color="auto"/>
            </w:tcBorders>
            <w:vAlign w:val="center"/>
            <w:hideMark/>
          </w:tcPr>
          <w:p w14:paraId="3F78D1F6" w14:textId="4D95C758" w:rsidR="0054757E" w:rsidRPr="00E619C8" w:rsidRDefault="0054757E" w:rsidP="00B21013">
            <w:pPr>
              <w:rPr>
                <w:rFonts w:ascii="Arial" w:hAnsi="Arial" w:cs="Arial"/>
                <w:color w:val="000000"/>
                <w:sz w:val="22"/>
                <w:szCs w:val="22"/>
              </w:rPr>
            </w:pPr>
            <w:r w:rsidRPr="00E619C8">
              <w:rPr>
                <w:rFonts w:ascii="Arial" w:hAnsi="Arial" w:cs="Arial"/>
                <w:color w:val="000000"/>
                <w:sz w:val="22"/>
                <w:szCs w:val="22"/>
              </w:rPr>
              <w:t>1.2 Pengerukan Kolam Pelabuhan PP Sape</w:t>
            </w:r>
          </w:p>
        </w:tc>
        <w:tc>
          <w:tcPr>
            <w:tcW w:w="1336" w:type="dxa"/>
            <w:tcBorders>
              <w:top w:val="nil"/>
              <w:left w:val="nil"/>
              <w:bottom w:val="single" w:sz="4" w:space="0" w:color="auto"/>
              <w:right w:val="single" w:sz="4" w:space="0" w:color="auto"/>
            </w:tcBorders>
            <w:vAlign w:val="center"/>
            <w:hideMark/>
          </w:tcPr>
          <w:p w14:paraId="191B9227" w14:textId="77777777" w:rsidR="0054757E" w:rsidRPr="00E619C8" w:rsidRDefault="0054757E" w:rsidP="007F3E4C">
            <w:pPr>
              <w:spacing w:line="276" w:lineRule="auto"/>
              <w:jc w:val="center"/>
              <w:rPr>
                <w:rFonts w:ascii="Arial" w:hAnsi="Arial" w:cs="Arial"/>
                <w:color w:val="000000"/>
                <w:sz w:val="22"/>
                <w:szCs w:val="22"/>
              </w:rPr>
            </w:pPr>
            <w:r w:rsidRPr="00E619C8">
              <w:rPr>
                <w:rFonts w:ascii="Arial" w:hAnsi="Arial" w:cs="Arial"/>
                <w:color w:val="000000"/>
                <w:sz w:val="22"/>
                <w:szCs w:val="22"/>
              </w:rPr>
              <w:t>29.80</w:t>
            </w:r>
          </w:p>
        </w:tc>
      </w:tr>
    </w:tbl>
    <w:p w14:paraId="407798DB" w14:textId="06228C2F" w:rsidR="002033A5" w:rsidRPr="00E619C8" w:rsidRDefault="00E113EC">
      <w:pPr>
        <w:spacing w:before="240" w:after="240" w:line="300" w:lineRule="auto"/>
        <w:jc w:val="center"/>
        <w:rPr>
          <w:rFonts w:ascii="Arial" w:eastAsia="Arial" w:hAnsi="Arial" w:cs="Arial"/>
          <w:sz w:val="20"/>
          <w:szCs w:val="20"/>
        </w:rPr>
      </w:pPr>
      <w:r w:rsidRPr="00E619C8">
        <w:rPr>
          <w:rFonts w:ascii="Arial" w:eastAsia="Arial" w:hAnsi="Arial" w:cs="Arial"/>
          <w:sz w:val="20"/>
          <w:szCs w:val="20"/>
        </w:rPr>
        <w:t xml:space="preserve">Table </w:t>
      </w:r>
      <w:r w:rsidR="00DD0F1A" w:rsidRPr="00E619C8">
        <w:rPr>
          <w:rFonts w:ascii="Arial" w:eastAsia="Arial" w:hAnsi="Arial" w:cs="Arial"/>
          <w:sz w:val="20"/>
          <w:szCs w:val="20"/>
        </w:rPr>
        <w:t>18</w:t>
      </w:r>
      <w:r w:rsidRPr="00E619C8">
        <w:rPr>
          <w:rFonts w:ascii="Arial" w:eastAsia="Arial" w:hAnsi="Arial" w:cs="Arial"/>
          <w:sz w:val="20"/>
          <w:szCs w:val="20"/>
        </w:rPr>
        <w:t>. Top 10 Infrastructure Projects Based on ITI Score</w:t>
      </w:r>
    </w:p>
    <w:p w14:paraId="5A006D12" w14:textId="77777777" w:rsidR="00615F13" w:rsidRPr="00E619C8" w:rsidRDefault="00615F13" w:rsidP="00615F13">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The ranking shows a clear differentiation in project transparency performance. The top performer is Dinas Pendidikan dan Kebudayaan (Department of Education and Culture) with the project “Belanja Modal Pembangunan Unit Sekolah Baru (USB) SLBN 3 Mataram” (Construction of New School Unit (USB) SLBN 3 Mataram), achieving the highest score of 40.70. This is followed by Dinas Pekerjaan Umum dan Penataan Ruang (Department of Public Works and Spatial Planning (Roads and Bridges Division)) with the project “Rekonstruksi Ruas Jalan Tanjung Geres - Pohgading - Pringgabaya” (Road Reconstruction Project: Tanjung Geres - Pohgading - Pringgabaya), scoring 35.60. The third position is held by Dinas Koperasi Usaha Kecil dan Menengah (Department of Cooperatives and Small and Medium Enterprises) with the project “Bangunan Gedung PLUT KUKM Provinsi NTB” (Construction of PLUT KUKM Building), scoring 35.30. </w:t>
      </w:r>
    </w:p>
    <w:p w14:paraId="472FCD5E" w14:textId="6C3BAE69" w:rsidR="002033A5" w:rsidRPr="00E619C8" w:rsidRDefault="00615F13">
      <w:pPr>
        <w:spacing w:before="240" w:after="240" w:line="300" w:lineRule="auto"/>
        <w:jc w:val="both"/>
        <w:rPr>
          <w:rFonts w:ascii="Arial" w:eastAsia="Arial" w:hAnsi="Arial" w:cs="Arial"/>
          <w:strike/>
          <w:sz w:val="22"/>
          <w:szCs w:val="22"/>
        </w:rPr>
      </w:pPr>
      <w:r w:rsidRPr="00E619C8">
        <w:rPr>
          <w:rFonts w:ascii="Arial" w:eastAsia="Arial" w:hAnsi="Arial" w:cs="Arial"/>
          <w:sz w:val="22"/>
          <w:szCs w:val="22"/>
        </w:rPr>
        <w:t xml:space="preserve">Other projects in the top ten include those implemented by Dinas Pertanian dan Perkebunan (Agriculture and Plantation Department), Dinas Koperasi Usaha Kecil dan Menengah (Department of Cooperatives and Small and Medium Enterprises), Rumah Sakit H. L. Manambai Abdul Kadir (H. L. Manambai Abdul Kadir Hospital), Dinas Pariwisata (Department of Tourism), Dinas Pemuda dan Olahraga (Department of Youth and Sports), Dinas Pekerjaan Umum dan Penataan Ruang (Department of Public Works and Spatial Planning), and Dinas Kelautan dan Perikanan (Department of Marine and Fisheries), with scores ranging from 34.10 to 29.80. </w:t>
      </w:r>
      <w:r w:rsidRPr="00E619C8">
        <w:rPr>
          <w:rFonts w:ascii="Arial" w:eastAsia="Arial" w:hAnsi="Arial" w:cs="Arial"/>
          <w:strike/>
          <w:sz w:val="22"/>
          <w:szCs w:val="22"/>
        </w:rPr>
        <w:t>.</w:t>
      </w:r>
    </w:p>
    <w:p w14:paraId="52A09F3A" w14:textId="77777777" w:rsidR="00615F13" w:rsidRPr="00E619C8" w:rsidRDefault="00615F13" w:rsidP="00615F13">
      <w:pPr>
        <w:spacing w:before="240" w:after="240" w:line="300" w:lineRule="auto"/>
        <w:jc w:val="both"/>
        <w:rPr>
          <w:rFonts w:ascii="Arial" w:eastAsia="Arial" w:hAnsi="Arial" w:cs="Arial"/>
          <w:sz w:val="22"/>
          <w:szCs w:val="22"/>
        </w:rPr>
      </w:pPr>
      <w:r w:rsidRPr="00E619C8">
        <w:rPr>
          <w:rFonts w:ascii="Arial" w:eastAsia="Arial" w:hAnsi="Arial" w:cs="Arial"/>
          <w:sz w:val="22"/>
          <w:szCs w:val="22"/>
        </w:rPr>
        <w:t>However, it is important to note that even the highest-scoring project remains below the 50-point benchmark, indicating that transparency performance is still relatively low across all projects and does not yet meet a level that could be considered fully transparent.</w:t>
      </w:r>
    </w:p>
    <w:p w14:paraId="6912B7FA" w14:textId="0940E2AD" w:rsidR="008B454A" w:rsidRPr="00E619C8" w:rsidRDefault="00615F13">
      <w:pPr>
        <w:spacing w:before="240" w:after="240" w:line="300" w:lineRule="auto"/>
        <w:jc w:val="both"/>
        <w:rPr>
          <w:rFonts w:ascii="Arial" w:eastAsia="Arial" w:hAnsi="Arial" w:cs="Arial"/>
          <w:sz w:val="22"/>
          <w:szCs w:val="22"/>
        </w:rPr>
      </w:pPr>
      <w:r w:rsidRPr="00E619C8">
        <w:rPr>
          <w:rFonts w:ascii="Arial" w:eastAsia="Arial" w:hAnsi="Arial" w:cs="Arial"/>
          <w:sz w:val="22"/>
          <w:szCs w:val="22"/>
        </w:rPr>
        <w:t>In terms of sectoral distribution, the top-performing projects originate from the education, transport, and economic development sectors. While these sectors appear in the upper ranks, the overall low score range suggests that transparency practices remain inconsistent and insufficient across sectors. Therefore, these projects should be understood as relatively better performers within the sample, rather than examples of fully transparent projects.</w:t>
      </w:r>
    </w:p>
    <w:tbl>
      <w:tblPr>
        <w:tblW w:w="8995" w:type="dxa"/>
        <w:tblLook w:val="04A0" w:firstRow="1" w:lastRow="0" w:firstColumn="1" w:lastColumn="0" w:noHBand="0" w:noVBand="1"/>
      </w:tblPr>
      <w:tblGrid>
        <w:gridCol w:w="754"/>
        <w:gridCol w:w="2670"/>
        <w:gridCol w:w="4311"/>
        <w:gridCol w:w="1260"/>
      </w:tblGrid>
      <w:tr w:rsidR="00615F13" w:rsidRPr="00E619C8" w14:paraId="6A1A0579" w14:textId="77777777" w:rsidTr="00000841">
        <w:trPr>
          <w:trHeight w:val="692"/>
          <w:tblHeader/>
        </w:trPr>
        <w:tc>
          <w:tcPr>
            <w:tcW w:w="754"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32775043" w14:textId="77777777" w:rsidR="00615F13" w:rsidRPr="00E619C8" w:rsidRDefault="00615F13" w:rsidP="00000841">
            <w:pPr>
              <w:jc w:val="center"/>
              <w:rPr>
                <w:rFonts w:ascii="Arial" w:hAnsi="Arial" w:cs="Arial"/>
                <w:b/>
                <w:bCs/>
                <w:color w:val="FFFFFF"/>
                <w:sz w:val="22"/>
                <w:szCs w:val="22"/>
              </w:rPr>
            </w:pPr>
            <w:r w:rsidRPr="00E619C8">
              <w:rPr>
                <w:rFonts w:ascii="Arial" w:hAnsi="Arial" w:cs="Arial"/>
                <w:b/>
                <w:bCs/>
                <w:color w:val="FFFFFF"/>
                <w:sz w:val="22"/>
                <w:szCs w:val="22"/>
              </w:rPr>
              <w:t>Rank</w:t>
            </w:r>
          </w:p>
        </w:tc>
        <w:tc>
          <w:tcPr>
            <w:tcW w:w="2670" w:type="dxa"/>
            <w:tcBorders>
              <w:top w:val="single" w:sz="4" w:space="0" w:color="auto"/>
              <w:left w:val="nil"/>
              <w:bottom w:val="single" w:sz="4" w:space="0" w:color="auto"/>
              <w:right w:val="single" w:sz="4" w:space="0" w:color="auto"/>
            </w:tcBorders>
            <w:shd w:val="clear" w:color="auto" w:fill="C00000"/>
            <w:vAlign w:val="center"/>
            <w:hideMark/>
          </w:tcPr>
          <w:p w14:paraId="264ED875" w14:textId="77777777" w:rsidR="00615F13" w:rsidRPr="00E619C8" w:rsidRDefault="00615F13" w:rsidP="00000841">
            <w:pPr>
              <w:jc w:val="center"/>
              <w:rPr>
                <w:rFonts w:ascii="Arial" w:hAnsi="Arial" w:cs="Arial"/>
                <w:b/>
                <w:bCs/>
                <w:color w:val="FFFFFF"/>
                <w:sz w:val="22"/>
                <w:szCs w:val="22"/>
              </w:rPr>
            </w:pPr>
            <w:r w:rsidRPr="00E619C8">
              <w:rPr>
                <w:rFonts w:ascii="Arial" w:hAnsi="Arial" w:cs="Arial"/>
                <w:b/>
                <w:bCs/>
                <w:color w:val="FFFFFF"/>
                <w:sz w:val="22"/>
                <w:szCs w:val="22"/>
              </w:rPr>
              <w:t>PE Name</w:t>
            </w:r>
          </w:p>
        </w:tc>
        <w:tc>
          <w:tcPr>
            <w:tcW w:w="4311" w:type="dxa"/>
            <w:tcBorders>
              <w:top w:val="single" w:sz="4" w:space="0" w:color="auto"/>
              <w:left w:val="nil"/>
              <w:bottom w:val="single" w:sz="4" w:space="0" w:color="auto"/>
              <w:right w:val="single" w:sz="4" w:space="0" w:color="auto"/>
            </w:tcBorders>
            <w:shd w:val="clear" w:color="auto" w:fill="C00000"/>
            <w:vAlign w:val="center"/>
            <w:hideMark/>
          </w:tcPr>
          <w:p w14:paraId="39D2CA3C" w14:textId="77777777" w:rsidR="00615F13" w:rsidRPr="00E619C8" w:rsidRDefault="00615F13" w:rsidP="00000841">
            <w:pPr>
              <w:jc w:val="center"/>
              <w:rPr>
                <w:rFonts w:ascii="Arial" w:hAnsi="Arial" w:cs="Arial"/>
                <w:b/>
                <w:bCs/>
                <w:color w:val="FFFFFF"/>
                <w:sz w:val="22"/>
                <w:szCs w:val="22"/>
              </w:rPr>
            </w:pPr>
            <w:r w:rsidRPr="00E619C8">
              <w:rPr>
                <w:rFonts w:ascii="Arial" w:hAnsi="Arial" w:cs="Arial"/>
                <w:b/>
                <w:bCs/>
                <w:color w:val="FFFFFF"/>
                <w:sz w:val="22"/>
                <w:szCs w:val="22"/>
              </w:rPr>
              <w:t xml:space="preserve"> Project Name</w:t>
            </w:r>
          </w:p>
        </w:tc>
        <w:tc>
          <w:tcPr>
            <w:tcW w:w="1260" w:type="dxa"/>
            <w:tcBorders>
              <w:top w:val="single" w:sz="4" w:space="0" w:color="auto"/>
              <w:left w:val="nil"/>
              <w:bottom w:val="single" w:sz="4" w:space="0" w:color="auto"/>
              <w:right w:val="single" w:sz="4" w:space="0" w:color="auto"/>
            </w:tcBorders>
            <w:shd w:val="clear" w:color="auto" w:fill="C00000"/>
            <w:vAlign w:val="center"/>
            <w:hideMark/>
          </w:tcPr>
          <w:p w14:paraId="66A52F72" w14:textId="77777777" w:rsidR="00615F13" w:rsidRPr="00E619C8" w:rsidRDefault="00615F13" w:rsidP="00000841">
            <w:pPr>
              <w:jc w:val="center"/>
              <w:rPr>
                <w:rFonts w:ascii="Arial" w:hAnsi="Arial" w:cs="Arial"/>
                <w:b/>
                <w:bCs/>
                <w:color w:val="FFFFFF"/>
                <w:sz w:val="22"/>
                <w:szCs w:val="22"/>
              </w:rPr>
            </w:pPr>
            <w:r w:rsidRPr="00E619C8">
              <w:rPr>
                <w:rFonts w:ascii="Arial" w:hAnsi="Arial" w:cs="Arial"/>
                <w:b/>
                <w:bCs/>
                <w:color w:val="FFFFFF"/>
                <w:sz w:val="22"/>
                <w:szCs w:val="22"/>
              </w:rPr>
              <w:t xml:space="preserve"> Project Score</w:t>
            </w:r>
          </w:p>
        </w:tc>
      </w:tr>
      <w:tr w:rsidR="00615F13" w:rsidRPr="00E619C8" w14:paraId="66E57C74" w14:textId="77777777" w:rsidTr="00000841">
        <w:trPr>
          <w:trHeight w:val="864"/>
        </w:trPr>
        <w:tc>
          <w:tcPr>
            <w:tcW w:w="754" w:type="dxa"/>
            <w:tcBorders>
              <w:top w:val="nil"/>
              <w:left w:val="single" w:sz="4" w:space="0" w:color="auto"/>
              <w:bottom w:val="single" w:sz="4" w:space="0" w:color="auto"/>
              <w:right w:val="single" w:sz="4" w:space="0" w:color="auto"/>
            </w:tcBorders>
            <w:shd w:val="clear" w:color="000000" w:fill="FFFFFF"/>
            <w:vAlign w:val="center"/>
            <w:hideMark/>
          </w:tcPr>
          <w:p w14:paraId="0350E3BA" w14:textId="47CB8879" w:rsidR="00615F13" w:rsidRPr="00E619C8" w:rsidRDefault="00615F13" w:rsidP="00000841">
            <w:pPr>
              <w:jc w:val="center"/>
              <w:rPr>
                <w:rFonts w:ascii="Arial" w:hAnsi="Arial" w:cs="Arial"/>
                <w:i/>
                <w:iCs/>
                <w:color w:val="000000"/>
                <w:sz w:val="22"/>
                <w:szCs w:val="22"/>
              </w:rPr>
            </w:pPr>
            <w:r w:rsidRPr="00E619C8">
              <w:rPr>
                <w:rFonts w:ascii="Arial" w:hAnsi="Arial" w:cs="Arial"/>
                <w:i/>
                <w:iCs/>
                <w:color w:val="000000"/>
                <w:sz w:val="22"/>
                <w:szCs w:val="22"/>
              </w:rPr>
              <w:t>30</w:t>
            </w:r>
          </w:p>
        </w:tc>
        <w:tc>
          <w:tcPr>
            <w:tcW w:w="2670" w:type="dxa"/>
            <w:tcBorders>
              <w:top w:val="nil"/>
              <w:left w:val="nil"/>
              <w:bottom w:val="single" w:sz="4" w:space="0" w:color="auto"/>
              <w:right w:val="single" w:sz="4" w:space="0" w:color="auto"/>
            </w:tcBorders>
            <w:shd w:val="clear" w:color="000000" w:fill="FFFFFF"/>
            <w:vAlign w:val="center"/>
            <w:hideMark/>
          </w:tcPr>
          <w:p w14:paraId="513D1835"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Pekerjaan Umum dan Penataan Ruang (Bidang Cipta Karya)</w:t>
            </w:r>
          </w:p>
        </w:tc>
        <w:tc>
          <w:tcPr>
            <w:tcW w:w="4311" w:type="dxa"/>
            <w:tcBorders>
              <w:top w:val="nil"/>
              <w:left w:val="nil"/>
              <w:bottom w:val="single" w:sz="4" w:space="0" w:color="auto"/>
              <w:right w:val="single" w:sz="4" w:space="0" w:color="auto"/>
            </w:tcBorders>
            <w:shd w:val="clear" w:color="000000" w:fill="FFFFFF"/>
            <w:vAlign w:val="center"/>
            <w:hideMark/>
          </w:tcPr>
          <w:p w14:paraId="2FD68798"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3.2 Pembangunan Mako Brimob Kompi Lobar</w:t>
            </w:r>
          </w:p>
        </w:tc>
        <w:tc>
          <w:tcPr>
            <w:tcW w:w="1260" w:type="dxa"/>
            <w:tcBorders>
              <w:top w:val="nil"/>
              <w:left w:val="nil"/>
              <w:bottom w:val="single" w:sz="4" w:space="0" w:color="auto"/>
              <w:right w:val="single" w:sz="4" w:space="0" w:color="auto"/>
            </w:tcBorders>
            <w:shd w:val="clear" w:color="000000" w:fill="FFFFFF"/>
            <w:vAlign w:val="center"/>
            <w:hideMark/>
          </w:tcPr>
          <w:p w14:paraId="541C90A2"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25.3</w:t>
            </w:r>
          </w:p>
        </w:tc>
      </w:tr>
      <w:tr w:rsidR="00615F13" w:rsidRPr="00E619C8" w14:paraId="0E8C4D2F" w14:textId="77777777" w:rsidTr="00000841">
        <w:trPr>
          <w:trHeight w:val="864"/>
        </w:trPr>
        <w:tc>
          <w:tcPr>
            <w:tcW w:w="754" w:type="dxa"/>
            <w:tcBorders>
              <w:top w:val="nil"/>
              <w:left w:val="single" w:sz="4" w:space="0" w:color="auto"/>
              <w:bottom w:val="single" w:sz="4" w:space="0" w:color="auto"/>
              <w:right w:val="single" w:sz="4" w:space="0" w:color="auto"/>
            </w:tcBorders>
            <w:shd w:val="clear" w:color="000000" w:fill="FFFFFF"/>
            <w:vAlign w:val="center"/>
            <w:hideMark/>
          </w:tcPr>
          <w:p w14:paraId="0CE453AC" w14:textId="4D80B09D" w:rsidR="00615F13" w:rsidRPr="00E619C8" w:rsidRDefault="00615F13" w:rsidP="00000841">
            <w:pPr>
              <w:jc w:val="center"/>
              <w:rPr>
                <w:rFonts w:ascii="Arial" w:hAnsi="Arial" w:cs="Arial"/>
                <w:i/>
                <w:iCs/>
                <w:color w:val="000000"/>
                <w:sz w:val="22"/>
                <w:szCs w:val="22"/>
              </w:rPr>
            </w:pPr>
            <w:r w:rsidRPr="00E619C8">
              <w:rPr>
                <w:rFonts w:ascii="Arial" w:hAnsi="Arial" w:cs="Arial"/>
                <w:i/>
                <w:iCs/>
                <w:color w:val="000000"/>
                <w:sz w:val="22"/>
                <w:szCs w:val="22"/>
              </w:rPr>
              <w:t>31</w:t>
            </w:r>
          </w:p>
        </w:tc>
        <w:tc>
          <w:tcPr>
            <w:tcW w:w="2670" w:type="dxa"/>
            <w:tcBorders>
              <w:top w:val="nil"/>
              <w:left w:val="nil"/>
              <w:bottom w:val="single" w:sz="4" w:space="0" w:color="auto"/>
              <w:right w:val="single" w:sz="4" w:space="0" w:color="auto"/>
            </w:tcBorders>
            <w:shd w:val="clear" w:color="000000" w:fill="FFFFFF"/>
            <w:vAlign w:val="center"/>
            <w:hideMark/>
          </w:tcPr>
          <w:p w14:paraId="2E6AA5AF"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Perindustrian</w:t>
            </w:r>
          </w:p>
        </w:tc>
        <w:tc>
          <w:tcPr>
            <w:tcW w:w="4311" w:type="dxa"/>
            <w:tcBorders>
              <w:top w:val="nil"/>
              <w:left w:val="nil"/>
              <w:bottom w:val="single" w:sz="4" w:space="0" w:color="auto"/>
              <w:right w:val="single" w:sz="4" w:space="0" w:color="auto"/>
            </w:tcBorders>
            <w:shd w:val="clear" w:color="000000" w:fill="FFFFFF"/>
            <w:vAlign w:val="center"/>
            <w:hideMark/>
          </w:tcPr>
          <w:p w14:paraId="4C62E6E4"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10.2 Pembangunan Ruang Produksi (Gudang) Tembakau</w:t>
            </w:r>
          </w:p>
        </w:tc>
        <w:tc>
          <w:tcPr>
            <w:tcW w:w="1260" w:type="dxa"/>
            <w:tcBorders>
              <w:top w:val="nil"/>
              <w:left w:val="nil"/>
              <w:bottom w:val="single" w:sz="4" w:space="0" w:color="auto"/>
              <w:right w:val="single" w:sz="4" w:space="0" w:color="auto"/>
            </w:tcBorders>
            <w:shd w:val="clear" w:color="000000" w:fill="FFFFFF"/>
            <w:vAlign w:val="center"/>
            <w:hideMark/>
          </w:tcPr>
          <w:p w14:paraId="09409B23"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24.1</w:t>
            </w:r>
          </w:p>
        </w:tc>
      </w:tr>
      <w:tr w:rsidR="00615F13" w:rsidRPr="00E619C8" w14:paraId="554C1C66" w14:textId="77777777" w:rsidTr="00000841">
        <w:trPr>
          <w:trHeight w:val="718"/>
        </w:trPr>
        <w:tc>
          <w:tcPr>
            <w:tcW w:w="754" w:type="dxa"/>
            <w:tcBorders>
              <w:top w:val="nil"/>
              <w:left w:val="single" w:sz="4" w:space="0" w:color="auto"/>
              <w:bottom w:val="single" w:sz="4" w:space="0" w:color="auto"/>
              <w:right w:val="single" w:sz="4" w:space="0" w:color="auto"/>
            </w:tcBorders>
            <w:shd w:val="clear" w:color="000000" w:fill="FFFFFF"/>
            <w:vAlign w:val="center"/>
            <w:hideMark/>
          </w:tcPr>
          <w:p w14:paraId="3779B1C8" w14:textId="4D8C125F" w:rsidR="00615F13" w:rsidRPr="00E619C8" w:rsidRDefault="00615F13" w:rsidP="00000841">
            <w:pPr>
              <w:jc w:val="center"/>
              <w:rPr>
                <w:rFonts w:ascii="Arial" w:hAnsi="Arial" w:cs="Arial"/>
                <w:i/>
                <w:iCs/>
                <w:color w:val="000000"/>
                <w:sz w:val="22"/>
                <w:szCs w:val="22"/>
              </w:rPr>
            </w:pPr>
            <w:r w:rsidRPr="00E619C8">
              <w:rPr>
                <w:rFonts w:ascii="Arial" w:hAnsi="Arial" w:cs="Arial"/>
                <w:i/>
                <w:iCs/>
                <w:color w:val="000000"/>
                <w:sz w:val="22"/>
                <w:szCs w:val="22"/>
              </w:rPr>
              <w:t>32</w:t>
            </w:r>
          </w:p>
        </w:tc>
        <w:tc>
          <w:tcPr>
            <w:tcW w:w="2670" w:type="dxa"/>
            <w:tcBorders>
              <w:top w:val="nil"/>
              <w:left w:val="nil"/>
              <w:bottom w:val="single" w:sz="4" w:space="0" w:color="auto"/>
              <w:right w:val="single" w:sz="4" w:space="0" w:color="auto"/>
            </w:tcBorders>
            <w:shd w:val="clear" w:color="000000" w:fill="FFFFFF"/>
            <w:vAlign w:val="center"/>
            <w:hideMark/>
          </w:tcPr>
          <w:p w14:paraId="52A617DA"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Pekerjaan Umum dan Penataan Ruang (Bidang Cipta Karya)</w:t>
            </w:r>
          </w:p>
        </w:tc>
        <w:tc>
          <w:tcPr>
            <w:tcW w:w="4311" w:type="dxa"/>
            <w:tcBorders>
              <w:top w:val="nil"/>
              <w:left w:val="nil"/>
              <w:bottom w:val="single" w:sz="4" w:space="0" w:color="auto"/>
              <w:right w:val="single" w:sz="4" w:space="0" w:color="auto"/>
            </w:tcBorders>
            <w:shd w:val="clear" w:color="000000" w:fill="FFFFFF"/>
            <w:vAlign w:val="center"/>
            <w:hideMark/>
          </w:tcPr>
          <w:p w14:paraId="48EDEA00"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3.3 Rehabilitasi Masjid Raya At-Taqwa</w:t>
            </w:r>
          </w:p>
        </w:tc>
        <w:tc>
          <w:tcPr>
            <w:tcW w:w="1260" w:type="dxa"/>
            <w:tcBorders>
              <w:top w:val="nil"/>
              <w:left w:val="nil"/>
              <w:bottom w:val="single" w:sz="4" w:space="0" w:color="auto"/>
              <w:right w:val="single" w:sz="4" w:space="0" w:color="auto"/>
            </w:tcBorders>
            <w:shd w:val="clear" w:color="000000" w:fill="FFFFFF"/>
            <w:vAlign w:val="center"/>
            <w:hideMark/>
          </w:tcPr>
          <w:p w14:paraId="6A36D9BD"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23.5</w:t>
            </w:r>
          </w:p>
        </w:tc>
      </w:tr>
    </w:tbl>
    <w:p w14:paraId="27E37F83" w14:textId="76688C16" w:rsidR="002033A5" w:rsidRPr="00E619C8" w:rsidRDefault="00E113EC">
      <w:pPr>
        <w:spacing w:before="240" w:after="240" w:line="300" w:lineRule="auto"/>
        <w:jc w:val="center"/>
        <w:rPr>
          <w:rFonts w:ascii="Arial" w:eastAsia="Arial" w:hAnsi="Arial" w:cs="Arial"/>
          <w:sz w:val="20"/>
          <w:szCs w:val="20"/>
        </w:rPr>
      </w:pPr>
      <w:r w:rsidRPr="00E619C8">
        <w:rPr>
          <w:rFonts w:ascii="Arial" w:eastAsia="Arial" w:hAnsi="Arial" w:cs="Arial"/>
          <w:sz w:val="20"/>
          <w:szCs w:val="20"/>
        </w:rPr>
        <w:t xml:space="preserve">Table </w:t>
      </w:r>
      <w:r w:rsidR="00DD0F1A" w:rsidRPr="00E619C8">
        <w:rPr>
          <w:rFonts w:ascii="Arial" w:eastAsia="Arial" w:hAnsi="Arial" w:cs="Arial"/>
          <w:sz w:val="20"/>
          <w:szCs w:val="20"/>
        </w:rPr>
        <w:t>19</w:t>
      </w:r>
      <w:r w:rsidRPr="00E619C8">
        <w:rPr>
          <w:rFonts w:ascii="Arial" w:eastAsia="Arial" w:hAnsi="Arial" w:cs="Arial"/>
          <w:sz w:val="20"/>
          <w:szCs w:val="20"/>
        </w:rPr>
        <w:t>. Three Lowest-Ranked Infrastructure Projects Based on ITI Score</w:t>
      </w:r>
    </w:p>
    <w:p w14:paraId="5D9F8780" w14:textId="790E7539"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At the other end of the ranking, the last three projects include two projects under the Cipta Karya Division, “Renovasi Gedung Kantor Gubernur Provinsi NTB” (the Governor’s Office renovation) and “Pembangunan Mako Brimob Kompi Lobar” (the Brimob HQ construction)</w:t>
      </w:r>
      <w:r w:rsidR="00695E63">
        <w:rPr>
          <w:rFonts w:ascii="Arial" w:eastAsia="Arial" w:hAnsi="Arial" w:cs="Arial"/>
          <w:sz w:val="22"/>
          <w:szCs w:val="22"/>
        </w:rPr>
        <w:t>,</w:t>
      </w:r>
      <w:r w:rsidRPr="00E619C8">
        <w:rPr>
          <w:rFonts w:ascii="Arial" w:eastAsia="Arial" w:hAnsi="Arial" w:cs="Arial"/>
          <w:sz w:val="22"/>
          <w:szCs w:val="22"/>
        </w:rPr>
        <w:t xml:space="preserve"> both scoring 25.3, and the Industry Department project “Pembangunan Ruang Produksi (Gudang) Tembakau “(Tobacco production warehouse construction)</w:t>
      </w:r>
      <w:r w:rsidR="00B050EE">
        <w:rPr>
          <w:rFonts w:ascii="Arial" w:eastAsia="Arial" w:hAnsi="Arial" w:cs="Arial"/>
          <w:sz w:val="22"/>
          <w:szCs w:val="22"/>
        </w:rPr>
        <w:t>,</w:t>
      </w:r>
      <w:r w:rsidRPr="00E619C8">
        <w:rPr>
          <w:rFonts w:ascii="Arial" w:eastAsia="Arial" w:hAnsi="Arial" w:cs="Arial"/>
          <w:sz w:val="22"/>
          <w:szCs w:val="22"/>
        </w:rPr>
        <w:t xml:space="preserve"> scoring 24.1. These results indicate that certain projects have substantially weaker transparency performance, likely reflecting gaps in the completeness, timeliness, or accessibility of disclosed information.</w:t>
      </w:r>
    </w:p>
    <w:p w14:paraId="2D372C8D" w14:textId="77777777" w:rsidR="0054757E" w:rsidRPr="00E619C8" w:rsidRDefault="0054757E">
      <w:pPr>
        <w:spacing w:before="240" w:after="240" w:line="300" w:lineRule="auto"/>
        <w:jc w:val="both"/>
        <w:rPr>
          <w:rFonts w:ascii="Arial" w:eastAsia="Arial" w:hAnsi="Arial" w:cs="Arial"/>
          <w:b/>
          <w:bCs/>
          <w:sz w:val="22"/>
          <w:szCs w:val="22"/>
        </w:rPr>
      </w:pPr>
    </w:p>
    <w:p w14:paraId="4C1E1B35" w14:textId="4FF60C00" w:rsidR="002033A5" w:rsidRPr="00E619C8" w:rsidRDefault="00E113EC">
      <w:pPr>
        <w:spacing w:before="240" w:after="240" w:line="300" w:lineRule="auto"/>
        <w:jc w:val="both"/>
        <w:rPr>
          <w:rFonts w:ascii="Arial" w:eastAsia="Arial" w:hAnsi="Arial" w:cs="Arial"/>
          <w:b/>
          <w:bCs/>
          <w:sz w:val="22"/>
          <w:szCs w:val="22"/>
        </w:rPr>
      </w:pPr>
      <w:r w:rsidRPr="00E619C8">
        <w:rPr>
          <w:rFonts w:ascii="Arial" w:eastAsia="Arial" w:hAnsi="Arial" w:cs="Arial"/>
          <w:b/>
          <w:bCs/>
          <w:sz w:val="22"/>
          <w:szCs w:val="22"/>
        </w:rPr>
        <w:t>Discussion</w:t>
      </w:r>
    </w:p>
    <w:p w14:paraId="3A0694B3" w14:textId="15B4C628"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Overall, the spread between the top project (40.7) and the lowest-ranked project (24.1) is 16.6 points, indicating variation in project-level transparency. The presence of multiple projects from the same PE in the top 10 (e.g., the Cooperatives/SMEs Department and the Marine and Fisheries Department) suggests that institutional routines and systems may influence </w:t>
      </w:r>
      <w:r w:rsidR="00874B85">
        <w:rPr>
          <w:rFonts w:ascii="Arial" w:eastAsia="Arial" w:hAnsi="Arial" w:cs="Arial"/>
          <w:sz w:val="22"/>
          <w:szCs w:val="22"/>
        </w:rPr>
        <w:t>the consistency with which</w:t>
      </w:r>
      <w:r w:rsidRPr="00E619C8">
        <w:rPr>
          <w:rFonts w:ascii="Arial" w:eastAsia="Arial" w:hAnsi="Arial" w:cs="Arial"/>
          <w:sz w:val="22"/>
          <w:szCs w:val="22"/>
        </w:rPr>
        <w:t xml:space="preserve"> projects achieve better disclosure performance. Likewise, the two lowest-ranked projects </w:t>
      </w:r>
      <w:r w:rsidR="00874B85">
        <w:rPr>
          <w:rFonts w:ascii="Arial" w:eastAsia="Arial" w:hAnsi="Arial" w:cs="Arial"/>
          <w:sz w:val="22"/>
          <w:szCs w:val="22"/>
        </w:rPr>
        <w:t>from the same PE division (Cipta Karya) may indicate common bottlenecks affecting disclosure practices within that unit, such as standard documentation</w:t>
      </w:r>
      <w:r w:rsidRPr="00E619C8">
        <w:rPr>
          <w:rFonts w:ascii="Arial" w:eastAsia="Arial" w:hAnsi="Arial" w:cs="Arial"/>
          <w:sz w:val="22"/>
          <w:szCs w:val="22"/>
        </w:rPr>
        <w:t>, publication procedures, or project data management. These findings support using high-performing projects as practical benchmarks and focusing improvement efforts on the recurring gaps observed in lower-performing projects, especially by strengthening standardised disclosure requirements and ensuring project information is consistently published and easy to access.</w:t>
      </w:r>
    </w:p>
    <w:p w14:paraId="298365B4" w14:textId="4BF28B74" w:rsidR="002033A5" w:rsidRPr="00E619C8" w:rsidRDefault="00E113EC">
      <w:pPr>
        <w:spacing w:before="240" w:after="240" w:line="300" w:lineRule="auto"/>
        <w:jc w:val="both"/>
        <w:rPr>
          <w:rFonts w:ascii="Arial" w:eastAsia="Arial" w:hAnsi="Arial" w:cs="Arial"/>
          <w:b/>
          <w:bCs/>
          <w:sz w:val="22"/>
          <w:szCs w:val="22"/>
        </w:rPr>
      </w:pPr>
      <w:r w:rsidRPr="00E619C8">
        <w:rPr>
          <w:rFonts w:ascii="Arial" w:eastAsia="Arial" w:hAnsi="Arial" w:cs="Arial"/>
          <w:b/>
          <w:bCs/>
          <w:sz w:val="22"/>
          <w:szCs w:val="22"/>
        </w:rPr>
        <w:t xml:space="preserve">Positive and negative scores, and the gap between </w:t>
      </w:r>
      <w:r w:rsidR="00874B85">
        <w:rPr>
          <w:rFonts w:ascii="Arial" w:eastAsia="Arial" w:hAnsi="Arial" w:cs="Arial"/>
          <w:b/>
          <w:bCs/>
          <w:sz w:val="22"/>
          <w:szCs w:val="22"/>
        </w:rPr>
        <w:t>projects'</w:t>
      </w:r>
      <w:r w:rsidRPr="00E619C8">
        <w:rPr>
          <w:rFonts w:ascii="Arial" w:eastAsia="Arial" w:hAnsi="Arial" w:cs="Arial"/>
          <w:b/>
          <w:bCs/>
          <w:sz w:val="22"/>
          <w:szCs w:val="22"/>
        </w:rPr>
        <w:t xml:space="preserve"> ITI scores</w:t>
      </w:r>
    </w:p>
    <w:p w14:paraId="41052B1E" w14:textId="7806D7B9" w:rsidR="00615F13" w:rsidRPr="00E619C8" w:rsidRDefault="00E113EC" w:rsidP="00615F13">
      <w:pPr>
        <w:spacing w:before="240" w:after="240" w:line="300" w:lineRule="auto"/>
        <w:jc w:val="both"/>
        <w:rPr>
          <w:rFonts w:ascii="Arial" w:eastAsia="Arial" w:hAnsi="Arial" w:cs="Arial"/>
          <w:sz w:val="22"/>
          <w:szCs w:val="22"/>
        </w:rPr>
      </w:pPr>
      <w:r w:rsidRPr="00E619C8">
        <w:rPr>
          <w:rFonts w:ascii="Arial" w:eastAsia="Arial" w:hAnsi="Arial" w:cs="Arial"/>
          <w:sz w:val="22"/>
          <w:szCs w:val="22"/>
        </w:rPr>
        <w:t>The evaluation cover</w:t>
      </w:r>
      <w:r w:rsidR="0032427F" w:rsidRPr="00E619C8">
        <w:rPr>
          <w:rFonts w:ascii="Arial" w:eastAsia="Arial" w:hAnsi="Arial" w:cs="Arial"/>
          <w:sz w:val="22"/>
          <w:szCs w:val="22"/>
        </w:rPr>
        <w:t>ed</w:t>
      </w:r>
      <w:r w:rsidRPr="00E619C8">
        <w:rPr>
          <w:rFonts w:ascii="Arial" w:eastAsia="Arial" w:hAnsi="Arial" w:cs="Arial"/>
          <w:sz w:val="22"/>
          <w:szCs w:val="22"/>
        </w:rPr>
        <w:t xml:space="preserve"> </w:t>
      </w:r>
      <w:r w:rsidR="00615F13" w:rsidRPr="00E619C8">
        <w:rPr>
          <w:rFonts w:ascii="Arial" w:eastAsia="Arial" w:hAnsi="Arial" w:cs="Arial"/>
          <w:sz w:val="22"/>
          <w:szCs w:val="22"/>
        </w:rPr>
        <w:t>32</w:t>
      </w:r>
      <w:r w:rsidRPr="00E619C8">
        <w:rPr>
          <w:rFonts w:ascii="Arial" w:eastAsia="Arial" w:hAnsi="Arial" w:cs="Arial"/>
          <w:sz w:val="22"/>
          <w:szCs w:val="22"/>
        </w:rPr>
        <w:t xml:space="preserve"> infrastructure projects. </w:t>
      </w:r>
      <w:r w:rsidR="00615F13" w:rsidRPr="00E619C8">
        <w:rPr>
          <w:rFonts w:ascii="Arial" w:eastAsia="Arial" w:hAnsi="Arial" w:cs="Arial"/>
          <w:sz w:val="22"/>
          <w:szCs w:val="22"/>
        </w:rPr>
        <w:t xml:space="preserve">All projects obtained positive ITI scores, with no substantive negative values recorded. This indicates that none of the assessed projects </w:t>
      </w:r>
      <w:r w:rsidR="00874B85">
        <w:rPr>
          <w:rFonts w:ascii="Arial" w:eastAsia="Arial" w:hAnsi="Arial" w:cs="Arial"/>
          <w:sz w:val="22"/>
          <w:szCs w:val="22"/>
        </w:rPr>
        <w:t>falls</w:t>
      </w:r>
      <w:r w:rsidR="00615F13" w:rsidRPr="00E619C8">
        <w:rPr>
          <w:rFonts w:ascii="Arial" w:eastAsia="Arial" w:hAnsi="Arial" w:cs="Arial"/>
          <w:sz w:val="22"/>
          <w:szCs w:val="22"/>
        </w:rPr>
        <w:t xml:space="preserve"> into a critically poor governance category, suggesting that a minimum level of transparency and accountability has been achieved across all evaluated projects.</w:t>
      </w:r>
    </w:p>
    <w:p w14:paraId="7E53F171" w14:textId="77777777" w:rsidR="00615F13" w:rsidRPr="00E619C8" w:rsidRDefault="00615F13" w:rsidP="00615F13">
      <w:pPr>
        <w:spacing w:before="240" w:after="240" w:line="300" w:lineRule="auto"/>
        <w:jc w:val="both"/>
        <w:rPr>
          <w:rFonts w:ascii="Arial" w:eastAsia="Arial" w:hAnsi="Arial" w:cs="Arial"/>
          <w:sz w:val="22"/>
          <w:szCs w:val="22"/>
        </w:rPr>
      </w:pPr>
      <w:r w:rsidRPr="00E619C8">
        <w:rPr>
          <w:rFonts w:ascii="Arial" w:eastAsia="Arial" w:hAnsi="Arial" w:cs="Arial"/>
          <w:sz w:val="22"/>
          <w:szCs w:val="22"/>
        </w:rPr>
        <w:t>The highest project score is 40.70, while the lowest is 23.50, resulting in a gap of 17.20 points. This range indicates a moderate level of variation in project-level governance performance. However, the overall scores remain within a relatively modest performance band, with most projects clustering around the 28–30 range. This suggests that, despite the absence of critically low scores, transparency practices across projects are still generally limited and have not yet reached a high-performance threshold.</w:t>
      </w:r>
    </w:p>
    <w:p w14:paraId="75626A31" w14:textId="5C67D98A" w:rsidR="00615F13" w:rsidRPr="00E619C8" w:rsidRDefault="00615F13" w:rsidP="00615F13">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In contrast, the gap between Procuring Entities (PEs) is significantly wider. The highest PE score is 57.02, while the lowest is 18.65, producing a disparity of 38.37 points. This substantial difference reflects considerable variation in institutional governance capacity. Compared to the narrower spread at the project level, this suggests that differences in </w:t>
      </w:r>
      <w:r w:rsidR="00874B85">
        <w:rPr>
          <w:rFonts w:ascii="Arial" w:eastAsia="Arial" w:hAnsi="Arial" w:cs="Arial"/>
          <w:sz w:val="22"/>
          <w:szCs w:val="22"/>
        </w:rPr>
        <w:t>organisational performance do not fully translate into equally extreme differences in project outcomes, possibly due to the influence of standardised</w:t>
      </w:r>
      <w:r w:rsidRPr="00E619C8">
        <w:rPr>
          <w:rFonts w:ascii="Arial" w:eastAsia="Arial" w:hAnsi="Arial" w:cs="Arial"/>
          <w:sz w:val="22"/>
          <w:szCs w:val="22"/>
        </w:rPr>
        <w:t xml:space="preserve"> procedures or regulatory frameworks that moderate project-level performance.</w:t>
      </w:r>
    </w:p>
    <w:p w14:paraId="3727A568" w14:textId="77777777" w:rsidR="00615F13" w:rsidRPr="00E619C8" w:rsidRDefault="00615F13" w:rsidP="00615F13">
      <w:pPr>
        <w:spacing w:before="240" w:after="240" w:line="300" w:lineRule="auto"/>
        <w:jc w:val="both"/>
        <w:rPr>
          <w:rFonts w:ascii="Arial" w:eastAsia="Arial" w:hAnsi="Arial" w:cs="Arial"/>
          <w:b/>
          <w:bCs/>
          <w:sz w:val="22"/>
          <w:szCs w:val="22"/>
        </w:rPr>
      </w:pPr>
      <w:r w:rsidRPr="00E619C8">
        <w:rPr>
          <w:rFonts w:ascii="Arial" w:eastAsia="Arial" w:hAnsi="Arial" w:cs="Arial"/>
          <w:b/>
          <w:bCs/>
          <w:sz w:val="22"/>
          <w:szCs w:val="22"/>
        </w:rPr>
        <w:br/>
      </w:r>
    </w:p>
    <w:p w14:paraId="589A1FD1" w14:textId="77777777" w:rsidR="00615F13" w:rsidRPr="00E619C8" w:rsidRDefault="00615F13" w:rsidP="00615F13">
      <w:pPr>
        <w:spacing w:before="240" w:after="240" w:line="300" w:lineRule="auto"/>
        <w:jc w:val="both"/>
        <w:rPr>
          <w:rFonts w:ascii="Arial" w:eastAsia="Arial" w:hAnsi="Arial" w:cs="Arial"/>
          <w:b/>
          <w:bCs/>
          <w:sz w:val="22"/>
          <w:szCs w:val="22"/>
        </w:rPr>
      </w:pPr>
    </w:p>
    <w:p w14:paraId="02ED6D58" w14:textId="77777777" w:rsidR="00615F13" w:rsidRPr="00E619C8" w:rsidRDefault="00615F13" w:rsidP="00615F13">
      <w:pPr>
        <w:spacing w:before="240" w:after="240" w:line="300" w:lineRule="auto"/>
        <w:jc w:val="both"/>
        <w:rPr>
          <w:rFonts w:ascii="Arial" w:eastAsia="Arial" w:hAnsi="Arial" w:cs="Arial"/>
          <w:b/>
          <w:bCs/>
          <w:sz w:val="22"/>
          <w:szCs w:val="22"/>
        </w:rPr>
      </w:pPr>
    </w:p>
    <w:p w14:paraId="597B31B9" w14:textId="69888A3B" w:rsidR="002033A5" w:rsidRPr="00E619C8" w:rsidRDefault="00615F13" w:rsidP="00615F13">
      <w:pPr>
        <w:spacing w:before="240" w:after="240" w:line="300" w:lineRule="auto"/>
        <w:jc w:val="both"/>
        <w:rPr>
          <w:rFonts w:ascii="Arial" w:eastAsia="Arial" w:hAnsi="Arial" w:cs="Arial"/>
          <w:b/>
          <w:bCs/>
          <w:sz w:val="22"/>
          <w:szCs w:val="22"/>
        </w:rPr>
      </w:pPr>
      <w:r w:rsidRPr="00E619C8">
        <w:rPr>
          <w:rFonts w:ascii="Arial" w:eastAsia="Arial" w:hAnsi="Arial" w:cs="Arial"/>
          <w:b/>
          <w:bCs/>
          <w:sz w:val="22"/>
          <w:szCs w:val="22"/>
        </w:rPr>
        <w:t>Quartile Analysis of PE Project ITI Scores</w:t>
      </w:r>
    </w:p>
    <w:tbl>
      <w:tblPr>
        <w:tblW w:w="8995" w:type="dxa"/>
        <w:tblLook w:val="04A0" w:firstRow="1" w:lastRow="0" w:firstColumn="1" w:lastColumn="0" w:noHBand="0" w:noVBand="1"/>
      </w:tblPr>
      <w:tblGrid>
        <w:gridCol w:w="2211"/>
        <w:gridCol w:w="3689"/>
        <w:gridCol w:w="2010"/>
        <w:gridCol w:w="1085"/>
      </w:tblGrid>
      <w:tr w:rsidR="00615F13" w:rsidRPr="00E619C8" w14:paraId="60FC86A1" w14:textId="77777777" w:rsidTr="00000841">
        <w:trPr>
          <w:trHeight w:val="828"/>
          <w:tblHeader/>
        </w:trPr>
        <w:tc>
          <w:tcPr>
            <w:tcW w:w="2211"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2D430A7B" w14:textId="77777777" w:rsidR="00615F13" w:rsidRPr="00E619C8" w:rsidRDefault="00615F13" w:rsidP="00000841">
            <w:pPr>
              <w:jc w:val="center"/>
              <w:rPr>
                <w:rFonts w:ascii="Arial" w:hAnsi="Arial" w:cs="Arial"/>
                <w:b/>
                <w:bCs/>
                <w:color w:val="FFFFFF"/>
                <w:sz w:val="22"/>
                <w:szCs w:val="22"/>
              </w:rPr>
            </w:pPr>
            <w:r w:rsidRPr="00E619C8">
              <w:rPr>
                <w:rFonts w:ascii="Arial" w:hAnsi="Arial" w:cs="Arial"/>
                <w:b/>
                <w:bCs/>
                <w:color w:val="FFFFFF"/>
                <w:sz w:val="22"/>
                <w:szCs w:val="22"/>
              </w:rPr>
              <w:t>PE Name</w:t>
            </w:r>
          </w:p>
        </w:tc>
        <w:tc>
          <w:tcPr>
            <w:tcW w:w="3689" w:type="dxa"/>
            <w:tcBorders>
              <w:top w:val="single" w:sz="4" w:space="0" w:color="auto"/>
              <w:left w:val="nil"/>
              <w:bottom w:val="single" w:sz="4" w:space="0" w:color="auto"/>
              <w:right w:val="single" w:sz="4" w:space="0" w:color="auto"/>
            </w:tcBorders>
            <w:shd w:val="clear" w:color="auto" w:fill="C00000"/>
            <w:vAlign w:val="center"/>
            <w:hideMark/>
          </w:tcPr>
          <w:p w14:paraId="7FF5D53D" w14:textId="77777777" w:rsidR="00615F13" w:rsidRPr="00E619C8" w:rsidRDefault="00615F13" w:rsidP="00000841">
            <w:pPr>
              <w:jc w:val="center"/>
              <w:rPr>
                <w:rFonts w:ascii="Arial" w:hAnsi="Arial" w:cs="Arial"/>
                <w:b/>
                <w:bCs/>
                <w:color w:val="FFFFFF"/>
                <w:sz w:val="22"/>
                <w:szCs w:val="22"/>
              </w:rPr>
            </w:pPr>
            <w:r w:rsidRPr="00E619C8">
              <w:rPr>
                <w:rFonts w:ascii="Arial" w:hAnsi="Arial" w:cs="Arial"/>
                <w:b/>
                <w:bCs/>
                <w:color w:val="FFFFFF"/>
                <w:sz w:val="22"/>
                <w:szCs w:val="22"/>
              </w:rPr>
              <w:t>PE Project Name</w:t>
            </w:r>
          </w:p>
        </w:tc>
        <w:tc>
          <w:tcPr>
            <w:tcW w:w="2010" w:type="dxa"/>
            <w:tcBorders>
              <w:top w:val="single" w:sz="4" w:space="0" w:color="auto"/>
              <w:left w:val="nil"/>
              <w:bottom w:val="single" w:sz="4" w:space="0" w:color="auto"/>
              <w:right w:val="single" w:sz="4" w:space="0" w:color="auto"/>
            </w:tcBorders>
            <w:shd w:val="clear" w:color="auto" w:fill="C00000"/>
            <w:vAlign w:val="center"/>
            <w:hideMark/>
          </w:tcPr>
          <w:p w14:paraId="15028D15" w14:textId="77777777" w:rsidR="00615F13" w:rsidRPr="00E619C8" w:rsidRDefault="00615F13" w:rsidP="00000841">
            <w:pPr>
              <w:jc w:val="center"/>
              <w:rPr>
                <w:rFonts w:ascii="Arial" w:hAnsi="Arial" w:cs="Arial"/>
                <w:b/>
                <w:bCs/>
                <w:color w:val="FFFFFF"/>
                <w:sz w:val="22"/>
                <w:szCs w:val="22"/>
              </w:rPr>
            </w:pPr>
            <w:r w:rsidRPr="00E619C8">
              <w:rPr>
                <w:rFonts w:ascii="Arial" w:hAnsi="Arial" w:cs="Arial"/>
                <w:b/>
                <w:bCs/>
                <w:color w:val="FFFFFF"/>
                <w:sz w:val="22"/>
                <w:szCs w:val="22"/>
              </w:rPr>
              <w:t xml:space="preserve"> Project Score</w:t>
            </w:r>
          </w:p>
        </w:tc>
        <w:tc>
          <w:tcPr>
            <w:tcW w:w="1085" w:type="dxa"/>
            <w:tcBorders>
              <w:top w:val="single" w:sz="4" w:space="0" w:color="auto"/>
              <w:left w:val="nil"/>
              <w:bottom w:val="single" w:sz="4" w:space="0" w:color="auto"/>
              <w:right w:val="single" w:sz="4" w:space="0" w:color="auto"/>
            </w:tcBorders>
            <w:shd w:val="clear" w:color="auto" w:fill="C00000"/>
            <w:vAlign w:val="center"/>
            <w:hideMark/>
          </w:tcPr>
          <w:p w14:paraId="1DEB2524" w14:textId="77777777" w:rsidR="00615F13" w:rsidRPr="00E619C8" w:rsidRDefault="00615F13" w:rsidP="00000841">
            <w:pPr>
              <w:jc w:val="center"/>
              <w:rPr>
                <w:rFonts w:ascii="Arial" w:hAnsi="Arial" w:cs="Arial"/>
                <w:b/>
                <w:bCs/>
                <w:color w:val="FFFFFF"/>
                <w:sz w:val="22"/>
                <w:szCs w:val="22"/>
              </w:rPr>
            </w:pPr>
            <w:r w:rsidRPr="00E619C8">
              <w:rPr>
                <w:rFonts w:ascii="Arial" w:hAnsi="Arial" w:cs="Arial"/>
                <w:b/>
                <w:bCs/>
                <w:color w:val="FFFFFF"/>
                <w:sz w:val="22"/>
                <w:szCs w:val="22"/>
              </w:rPr>
              <w:t>Quartile Average Score</w:t>
            </w:r>
          </w:p>
        </w:tc>
      </w:tr>
      <w:tr w:rsidR="00615F13" w:rsidRPr="00E619C8" w14:paraId="211B641E" w14:textId="77777777" w:rsidTr="00000841">
        <w:trPr>
          <w:trHeight w:val="552"/>
        </w:trPr>
        <w:tc>
          <w:tcPr>
            <w:tcW w:w="2211" w:type="dxa"/>
            <w:tcBorders>
              <w:top w:val="nil"/>
              <w:left w:val="single" w:sz="4" w:space="0" w:color="auto"/>
              <w:bottom w:val="single" w:sz="4" w:space="0" w:color="auto"/>
              <w:right w:val="single" w:sz="4" w:space="0" w:color="auto"/>
            </w:tcBorders>
            <w:vAlign w:val="center"/>
            <w:hideMark/>
          </w:tcPr>
          <w:p w14:paraId="52C5C34D"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Pendidikan dan Kebudayaan</w:t>
            </w:r>
          </w:p>
        </w:tc>
        <w:tc>
          <w:tcPr>
            <w:tcW w:w="3689" w:type="dxa"/>
            <w:tcBorders>
              <w:top w:val="nil"/>
              <w:left w:val="nil"/>
              <w:bottom w:val="single" w:sz="4" w:space="0" w:color="auto"/>
              <w:right w:val="single" w:sz="4" w:space="0" w:color="auto"/>
            </w:tcBorders>
            <w:vAlign w:val="center"/>
            <w:hideMark/>
          </w:tcPr>
          <w:p w14:paraId="07E241A2"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5.1 Belanja Modal Pembangunan Unit Sekolah Baru (USB) SLBN 3 Mataram</w:t>
            </w:r>
          </w:p>
        </w:tc>
        <w:tc>
          <w:tcPr>
            <w:tcW w:w="2010" w:type="dxa"/>
            <w:tcBorders>
              <w:top w:val="nil"/>
              <w:left w:val="nil"/>
              <w:bottom w:val="single" w:sz="4" w:space="0" w:color="auto"/>
              <w:right w:val="single" w:sz="4" w:space="0" w:color="auto"/>
            </w:tcBorders>
            <w:vAlign w:val="center"/>
            <w:hideMark/>
          </w:tcPr>
          <w:p w14:paraId="0DFCA378"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40.70</w:t>
            </w:r>
          </w:p>
        </w:tc>
        <w:tc>
          <w:tcPr>
            <w:tcW w:w="1085" w:type="dxa"/>
            <w:vMerge w:val="restart"/>
            <w:tcBorders>
              <w:top w:val="nil"/>
              <w:left w:val="single" w:sz="4" w:space="0" w:color="auto"/>
              <w:bottom w:val="single" w:sz="4" w:space="0" w:color="auto"/>
              <w:right w:val="single" w:sz="4" w:space="0" w:color="auto"/>
            </w:tcBorders>
            <w:vAlign w:val="center"/>
            <w:hideMark/>
          </w:tcPr>
          <w:p w14:paraId="3017EE3D"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34.08</w:t>
            </w:r>
          </w:p>
        </w:tc>
      </w:tr>
      <w:tr w:rsidR="00615F13" w:rsidRPr="00E619C8" w14:paraId="1046F0D8" w14:textId="77777777" w:rsidTr="00000841">
        <w:trPr>
          <w:trHeight w:val="1104"/>
        </w:trPr>
        <w:tc>
          <w:tcPr>
            <w:tcW w:w="2211" w:type="dxa"/>
            <w:tcBorders>
              <w:top w:val="nil"/>
              <w:left w:val="single" w:sz="4" w:space="0" w:color="auto"/>
              <w:bottom w:val="single" w:sz="4" w:space="0" w:color="auto"/>
              <w:right w:val="single" w:sz="4" w:space="0" w:color="auto"/>
            </w:tcBorders>
            <w:vAlign w:val="center"/>
            <w:hideMark/>
          </w:tcPr>
          <w:p w14:paraId="32DC9117"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Pekerjaan Umum dan Penataan Ruang (Bidang Bina Marga)</w:t>
            </w:r>
          </w:p>
        </w:tc>
        <w:tc>
          <w:tcPr>
            <w:tcW w:w="3689" w:type="dxa"/>
            <w:tcBorders>
              <w:top w:val="nil"/>
              <w:left w:val="nil"/>
              <w:bottom w:val="single" w:sz="4" w:space="0" w:color="auto"/>
              <w:right w:val="single" w:sz="4" w:space="0" w:color="auto"/>
            </w:tcBorders>
            <w:vAlign w:val="center"/>
            <w:hideMark/>
          </w:tcPr>
          <w:p w14:paraId="52B6F00D"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9.2 Rekonstruksi Ruas Jalan Tanjung Geres - Pohgading - Pringgabaya</w:t>
            </w:r>
          </w:p>
        </w:tc>
        <w:tc>
          <w:tcPr>
            <w:tcW w:w="2010" w:type="dxa"/>
            <w:tcBorders>
              <w:top w:val="nil"/>
              <w:left w:val="nil"/>
              <w:bottom w:val="single" w:sz="4" w:space="0" w:color="auto"/>
              <w:right w:val="single" w:sz="4" w:space="0" w:color="auto"/>
            </w:tcBorders>
            <w:vAlign w:val="center"/>
            <w:hideMark/>
          </w:tcPr>
          <w:p w14:paraId="4F24149D"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35.60</w:t>
            </w:r>
          </w:p>
        </w:tc>
        <w:tc>
          <w:tcPr>
            <w:tcW w:w="1085" w:type="dxa"/>
            <w:vMerge/>
            <w:tcBorders>
              <w:top w:val="nil"/>
              <w:left w:val="single" w:sz="4" w:space="0" w:color="auto"/>
              <w:bottom w:val="single" w:sz="4" w:space="0" w:color="auto"/>
              <w:right w:val="single" w:sz="4" w:space="0" w:color="auto"/>
            </w:tcBorders>
            <w:vAlign w:val="center"/>
            <w:hideMark/>
          </w:tcPr>
          <w:p w14:paraId="3637A879" w14:textId="77777777" w:rsidR="00615F13" w:rsidRPr="00E619C8" w:rsidRDefault="00615F13" w:rsidP="00000841">
            <w:pPr>
              <w:rPr>
                <w:rFonts w:ascii="Arial" w:hAnsi="Arial" w:cs="Arial"/>
                <w:color w:val="000000"/>
                <w:sz w:val="22"/>
                <w:szCs w:val="22"/>
              </w:rPr>
            </w:pPr>
          </w:p>
        </w:tc>
      </w:tr>
      <w:tr w:rsidR="00615F13" w:rsidRPr="00E619C8" w14:paraId="697C2988" w14:textId="77777777" w:rsidTr="00000841">
        <w:trPr>
          <w:trHeight w:val="828"/>
        </w:trPr>
        <w:tc>
          <w:tcPr>
            <w:tcW w:w="2211" w:type="dxa"/>
            <w:tcBorders>
              <w:top w:val="nil"/>
              <w:left w:val="single" w:sz="4" w:space="0" w:color="auto"/>
              <w:bottom w:val="single" w:sz="4" w:space="0" w:color="auto"/>
              <w:right w:val="single" w:sz="4" w:space="0" w:color="auto"/>
            </w:tcBorders>
            <w:vAlign w:val="center"/>
            <w:hideMark/>
          </w:tcPr>
          <w:p w14:paraId="0C923B81"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Koperasi Usaha Kecil dan Menengah</w:t>
            </w:r>
          </w:p>
        </w:tc>
        <w:tc>
          <w:tcPr>
            <w:tcW w:w="3689" w:type="dxa"/>
            <w:tcBorders>
              <w:top w:val="nil"/>
              <w:left w:val="nil"/>
              <w:bottom w:val="single" w:sz="4" w:space="0" w:color="auto"/>
              <w:right w:val="single" w:sz="4" w:space="0" w:color="auto"/>
            </w:tcBorders>
            <w:vAlign w:val="center"/>
            <w:hideMark/>
          </w:tcPr>
          <w:p w14:paraId="61017DB5"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2.2 Bangunan Gedung PLUT KUKM Provinsi NTB</w:t>
            </w:r>
          </w:p>
        </w:tc>
        <w:tc>
          <w:tcPr>
            <w:tcW w:w="2010" w:type="dxa"/>
            <w:tcBorders>
              <w:top w:val="nil"/>
              <w:left w:val="nil"/>
              <w:bottom w:val="single" w:sz="4" w:space="0" w:color="auto"/>
              <w:right w:val="single" w:sz="4" w:space="0" w:color="auto"/>
            </w:tcBorders>
            <w:vAlign w:val="center"/>
            <w:hideMark/>
          </w:tcPr>
          <w:p w14:paraId="11406B4A"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35.30</w:t>
            </w:r>
          </w:p>
        </w:tc>
        <w:tc>
          <w:tcPr>
            <w:tcW w:w="1085" w:type="dxa"/>
            <w:vMerge/>
            <w:tcBorders>
              <w:top w:val="nil"/>
              <w:left w:val="single" w:sz="4" w:space="0" w:color="auto"/>
              <w:bottom w:val="single" w:sz="4" w:space="0" w:color="auto"/>
              <w:right w:val="single" w:sz="4" w:space="0" w:color="auto"/>
            </w:tcBorders>
            <w:vAlign w:val="center"/>
            <w:hideMark/>
          </w:tcPr>
          <w:p w14:paraId="6F60A3E3" w14:textId="77777777" w:rsidR="00615F13" w:rsidRPr="00E619C8" w:rsidRDefault="00615F13" w:rsidP="00000841">
            <w:pPr>
              <w:rPr>
                <w:rFonts w:ascii="Arial" w:hAnsi="Arial" w:cs="Arial"/>
                <w:color w:val="000000"/>
                <w:sz w:val="22"/>
                <w:szCs w:val="22"/>
              </w:rPr>
            </w:pPr>
          </w:p>
        </w:tc>
      </w:tr>
      <w:tr w:rsidR="00615F13" w:rsidRPr="00E619C8" w14:paraId="50633E45" w14:textId="77777777" w:rsidTr="00000841">
        <w:trPr>
          <w:trHeight w:val="648"/>
        </w:trPr>
        <w:tc>
          <w:tcPr>
            <w:tcW w:w="2211" w:type="dxa"/>
            <w:tcBorders>
              <w:top w:val="nil"/>
              <w:left w:val="single" w:sz="4" w:space="0" w:color="auto"/>
              <w:bottom w:val="single" w:sz="4" w:space="0" w:color="auto"/>
              <w:right w:val="single" w:sz="4" w:space="0" w:color="auto"/>
            </w:tcBorders>
            <w:vAlign w:val="center"/>
            <w:hideMark/>
          </w:tcPr>
          <w:p w14:paraId="5B52402A"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Pertanian dan Perkebunan</w:t>
            </w:r>
          </w:p>
        </w:tc>
        <w:tc>
          <w:tcPr>
            <w:tcW w:w="3689" w:type="dxa"/>
            <w:tcBorders>
              <w:top w:val="nil"/>
              <w:left w:val="nil"/>
              <w:bottom w:val="single" w:sz="4" w:space="0" w:color="auto"/>
              <w:right w:val="single" w:sz="4" w:space="0" w:color="auto"/>
            </w:tcBorders>
            <w:vAlign w:val="center"/>
            <w:hideMark/>
          </w:tcPr>
          <w:p w14:paraId="7D746B76"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11.2 Pembangunan Laboratorium Agens Hayati</w:t>
            </w:r>
          </w:p>
        </w:tc>
        <w:tc>
          <w:tcPr>
            <w:tcW w:w="2010" w:type="dxa"/>
            <w:tcBorders>
              <w:top w:val="nil"/>
              <w:left w:val="nil"/>
              <w:bottom w:val="single" w:sz="4" w:space="0" w:color="auto"/>
              <w:right w:val="single" w:sz="4" w:space="0" w:color="auto"/>
            </w:tcBorders>
            <w:vAlign w:val="center"/>
            <w:hideMark/>
          </w:tcPr>
          <w:p w14:paraId="764B96C2"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34.10</w:t>
            </w:r>
          </w:p>
        </w:tc>
        <w:tc>
          <w:tcPr>
            <w:tcW w:w="1085" w:type="dxa"/>
            <w:vMerge/>
            <w:tcBorders>
              <w:top w:val="nil"/>
              <w:left w:val="single" w:sz="4" w:space="0" w:color="auto"/>
              <w:bottom w:val="single" w:sz="4" w:space="0" w:color="auto"/>
              <w:right w:val="single" w:sz="4" w:space="0" w:color="auto"/>
            </w:tcBorders>
            <w:vAlign w:val="center"/>
            <w:hideMark/>
          </w:tcPr>
          <w:p w14:paraId="4CE38B49" w14:textId="77777777" w:rsidR="00615F13" w:rsidRPr="00E619C8" w:rsidRDefault="00615F13" w:rsidP="00000841">
            <w:pPr>
              <w:rPr>
                <w:rFonts w:ascii="Arial" w:hAnsi="Arial" w:cs="Arial"/>
                <w:color w:val="000000"/>
                <w:sz w:val="22"/>
                <w:szCs w:val="22"/>
              </w:rPr>
            </w:pPr>
          </w:p>
        </w:tc>
      </w:tr>
      <w:tr w:rsidR="00615F13" w:rsidRPr="00E619C8" w14:paraId="108FC107" w14:textId="77777777" w:rsidTr="00000841">
        <w:trPr>
          <w:trHeight w:val="828"/>
        </w:trPr>
        <w:tc>
          <w:tcPr>
            <w:tcW w:w="2211" w:type="dxa"/>
            <w:tcBorders>
              <w:top w:val="nil"/>
              <w:left w:val="single" w:sz="4" w:space="0" w:color="auto"/>
              <w:bottom w:val="single" w:sz="4" w:space="0" w:color="auto"/>
              <w:right w:val="single" w:sz="4" w:space="0" w:color="auto"/>
            </w:tcBorders>
            <w:vAlign w:val="center"/>
            <w:hideMark/>
          </w:tcPr>
          <w:p w14:paraId="0A58B33D"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Koperasi Usaha Kecil dan Menengah</w:t>
            </w:r>
          </w:p>
        </w:tc>
        <w:tc>
          <w:tcPr>
            <w:tcW w:w="3689" w:type="dxa"/>
            <w:tcBorders>
              <w:top w:val="nil"/>
              <w:left w:val="nil"/>
              <w:bottom w:val="single" w:sz="4" w:space="0" w:color="auto"/>
              <w:right w:val="single" w:sz="4" w:space="0" w:color="auto"/>
            </w:tcBorders>
            <w:vAlign w:val="center"/>
            <w:hideMark/>
          </w:tcPr>
          <w:p w14:paraId="07E0DA4B"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2.1 Revitalisasi Gedung Pusat Layanan Usaha Terpadu (PLUT)</w:t>
            </w:r>
          </w:p>
        </w:tc>
        <w:tc>
          <w:tcPr>
            <w:tcW w:w="2010" w:type="dxa"/>
            <w:tcBorders>
              <w:top w:val="nil"/>
              <w:left w:val="nil"/>
              <w:bottom w:val="single" w:sz="4" w:space="0" w:color="auto"/>
              <w:right w:val="single" w:sz="4" w:space="0" w:color="auto"/>
            </w:tcBorders>
            <w:vAlign w:val="center"/>
            <w:hideMark/>
          </w:tcPr>
          <w:p w14:paraId="58232C63"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32.30</w:t>
            </w:r>
          </w:p>
        </w:tc>
        <w:tc>
          <w:tcPr>
            <w:tcW w:w="1085" w:type="dxa"/>
            <w:vMerge/>
            <w:tcBorders>
              <w:top w:val="nil"/>
              <w:left w:val="single" w:sz="4" w:space="0" w:color="auto"/>
              <w:bottom w:val="single" w:sz="4" w:space="0" w:color="auto"/>
              <w:right w:val="single" w:sz="4" w:space="0" w:color="auto"/>
            </w:tcBorders>
            <w:vAlign w:val="center"/>
            <w:hideMark/>
          </w:tcPr>
          <w:p w14:paraId="586AB432" w14:textId="77777777" w:rsidR="00615F13" w:rsidRPr="00E619C8" w:rsidRDefault="00615F13" w:rsidP="00000841">
            <w:pPr>
              <w:rPr>
                <w:rFonts w:ascii="Arial" w:hAnsi="Arial" w:cs="Arial"/>
                <w:color w:val="000000"/>
                <w:sz w:val="22"/>
                <w:szCs w:val="22"/>
              </w:rPr>
            </w:pPr>
          </w:p>
        </w:tc>
      </w:tr>
      <w:tr w:rsidR="00615F13" w:rsidRPr="00E619C8" w14:paraId="3CEF40AA" w14:textId="77777777" w:rsidTr="00000841">
        <w:trPr>
          <w:trHeight w:val="828"/>
        </w:trPr>
        <w:tc>
          <w:tcPr>
            <w:tcW w:w="2211" w:type="dxa"/>
            <w:tcBorders>
              <w:top w:val="nil"/>
              <w:left w:val="single" w:sz="4" w:space="0" w:color="auto"/>
              <w:bottom w:val="single" w:sz="4" w:space="0" w:color="auto"/>
              <w:right w:val="single" w:sz="4" w:space="0" w:color="auto"/>
            </w:tcBorders>
            <w:vAlign w:val="center"/>
            <w:hideMark/>
          </w:tcPr>
          <w:p w14:paraId="75ECDB5E"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Rumah Sakit H. L. Manambai Abdul Kadir</w:t>
            </w:r>
          </w:p>
        </w:tc>
        <w:tc>
          <w:tcPr>
            <w:tcW w:w="3689" w:type="dxa"/>
            <w:tcBorders>
              <w:top w:val="nil"/>
              <w:left w:val="nil"/>
              <w:bottom w:val="single" w:sz="4" w:space="0" w:color="auto"/>
              <w:right w:val="single" w:sz="4" w:space="0" w:color="auto"/>
            </w:tcBorders>
            <w:vAlign w:val="center"/>
            <w:hideMark/>
          </w:tcPr>
          <w:p w14:paraId="1AA89D56"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12.2 Pembangunan Gedung Stroke Center</w:t>
            </w:r>
          </w:p>
        </w:tc>
        <w:tc>
          <w:tcPr>
            <w:tcW w:w="2010" w:type="dxa"/>
            <w:tcBorders>
              <w:top w:val="nil"/>
              <w:left w:val="nil"/>
              <w:bottom w:val="single" w:sz="4" w:space="0" w:color="auto"/>
              <w:right w:val="single" w:sz="4" w:space="0" w:color="auto"/>
            </w:tcBorders>
            <w:vAlign w:val="center"/>
            <w:hideMark/>
          </w:tcPr>
          <w:p w14:paraId="51A8AD34"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32.20</w:t>
            </w:r>
          </w:p>
        </w:tc>
        <w:tc>
          <w:tcPr>
            <w:tcW w:w="1085" w:type="dxa"/>
            <w:vMerge/>
            <w:tcBorders>
              <w:top w:val="nil"/>
              <w:left w:val="single" w:sz="4" w:space="0" w:color="auto"/>
              <w:bottom w:val="single" w:sz="4" w:space="0" w:color="auto"/>
              <w:right w:val="single" w:sz="4" w:space="0" w:color="auto"/>
            </w:tcBorders>
            <w:vAlign w:val="center"/>
            <w:hideMark/>
          </w:tcPr>
          <w:p w14:paraId="4F09903D" w14:textId="77777777" w:rsidR="00615F13" w:rsidRPr="00E619C8" w:rsidRDefault="00615F13" w:rsidP="00000841">
            <w:pPr>
              <w:rPr>
                <w:rFonts w:ascii="Arial" w:hAnsi="Arial" w:cs="Arial"/>
                <w:color w:val="000000"/>
                <w:sz w:val="22"/>
                <w:szCs w:val="22"/>
              </w:rPr>
            </w:pPr>
          </w:p>
        </w:tc>
      </w:tr>
      <w:tr w:rsidR="00615F13" w:rsidRPr="00E619C8" w14:paraId="3114A5BC" w14:textId="77777777" w:rsidTr="00000841">
        <w:trPr>
          <w:trHeight w:val="552"/>
        </w:trPr>
        <w:tc>
          <w:tcPr>
            <w:tcW w:w="2211" w:type="dxa"/>
            <w:tcBorders>
              <w:top w:val="nil"/>
              <w:left w:val="single" w:sz="4" w:space="0" w:color="auto"/>
              <w:bottom w:val="single" w:sz="4" w:space="0" w:color="auto"/>
              <w:right w:val="single" w:sz="4" w:space="0" w:color="auto"/>
            </w:tcBorders>
            <w:vAlign w:val="center"/>
            <w:hideMark/>
          </w:tcPr>
          <w:p w14:paraId="41907EB1"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Pariwisata</w:t>
            </w:r>
          </w:p>
        </w:tc>
        <w:tc>
          <w:tcPr>
            <w:tcW w:w="3689" w:type="dxa"/>
            <w:tcBorders>
              <w:top w:val="nil"/>
              <w:left w:val="nil"/>
              <w:bottom w:val="single" w:sz="4" w:space="0" w:color="auto"/>
              <w:right w:val="single" w:sz="4" w:space="0" w:color="auto"/>
            </w:tcBorders>
            <w:vAlign w:val="center"/>
            <w:hideMark/>
          </w:tcPr>
          <w:p w14:paraId="5F592A56"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8.1 Pembangunan Pasar Seni Senggigi</w:t>
            </w:r>
          </w:p>
        </w:tc>
        <w:tc>
          <w:tcPr>
            <w:tcW w:w="2010" w:type="dxa"/>
            <w:tcBorders>
              <w:top w:val="nil"/>
              <w:left w:val="nil"/>
              <w:bottom w:val="single" w:sz="4" w:space="0" w:color="auto"/>
              <w:right w:val="single" w:sz="4" w:space="0" w:color="auto"/>
            </w:tcBorders>
            <w:vAlign w:val="center"/>
            <w:hideMark/>
          </w:tcPr>
          <w:p w14:paraId="7AB9FD81"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31.60</w:t>
            </w:r>
          </w:p>
        </w:tc>
        <w:tc>
          <w:tcPr>
            <w:tcW w:w="1085" w:type="dxa"/>
            <w:vMerge/>
            <w:tcBorders>
              <w:top w:val="nil"/>
              <w:left w:val="single" w:sz="4" w:space="0" w:color="auto"/>
              <w:bottom w:val="single" w:sz="4" w:space="0" w:color="auto"/>
              <w:right w:val="single" w:sz="4" w:space="0" w:color="auto"/>
            </w:tcBorders>
            <w:vAlign w:val="center"/>
            <w:hideMark/>
          </w:tcPr>
          <w:p w14:paraId="4C3F3D04" w14:textId="77777777" w:rsidR="00615F13" w:rsidRPr="00E619C8" w:rsidRDefault="00615F13" w:rsidP="00000841">
            <w:pPr>
              <w:rPr>
                <w:rFonts w:ascii="Arial" w:hAnsi="Arial" w:cs="Arial"/>
                <w:color w:val="000000"/>
                <w:sz w:val="22"/>
                <w:szCs w:val="22"/>
              </w:rPr>
            </w:pPr>
          </w:p>
        </w:tc>
      </w:tr>
      <w:tr w:rsidR="00615F13" w:rsidRPr="00E619C8" w14:paraId="5AAE8FD1" w14:textId="77777777" w:rsidTr="00000841">
        <w:trPr>
          <w:trHeight w:val="828"/>
        </w:trPr>
        <w:tc>
          <w:tcPr>
            <w:tcW w:w="2211" w:type="dxa"/>
            <w:tcBorders>
              <w:top w:val="nil"/>
              <w:left w:val="single" w:sz="4" w:space="0" w:color="auto"/>
              <w:bottom w:val="single" w:sz="4" w:space="0" w:color="auto"/>
              <w:right w:val="single" w:sz="4" w:space="0" w:color="auto"/>
            </w:tcBorders>
            <w:vAlign w:val="center"/>
            <w:hideMark/>
          </w:tcPr>
          <w:p w14:paraId="0026EAA1"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Pemuda dan Olahraga</w:t>
            </w:r>
          </w:p>
        </w:tc>
        <w:tc>
          <w:tcPr>
            <w:tcW w:w="3689" w:type="dxa"/>
            <w:tcBorders>
              <w:top w:val="nil"/>
              <w:left w:val="nil"/>
              <w:bottom w:val="single" w:sz="4" w:space="0" w:color="auto"/>
              <w:right w:val="single" w:sz="4" w:space="0" w:color="auto"/>
            </w:tcBorders>
            <w:vAlign w:val="center"/>
            <w:hideMark/>
          </w:tcPr>
          <w:p w14:paraId="7003C0FB"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4.1 Pembangunan Lapangan Bulu Tangkis Yayasan Permata Hati Islamic School</w:t>
            </w:r>
          </w:p>
        </w:tc>
        <w:tc>
          <w:tcPr>
            <w:tcW w:w="2010" w:type="dxa"/>
            <w:tcBorders>
              <w:top w:val="nil"/>
              <w:left w:val="nil"/>
              <w:bottom w:val="single" w:sz="4" w:space="0" w:color="auto"/>
              <w:right w:val="single" w:sz="4" w:space="0" w:color="auto"/>
            </w:tcBorders>
            <w:vAlign w:val="center"/>
            <w:hideMark/>
          </w:tcPr>
          <w:p w14:paraId="5B0F5A9D"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30.80</w:t>
            </w:r>
          </w:p>
        </w:tc>
        <w:tc>
          <w:tcPr>
            <w:tcW w:w="1085" w:type="dxa"/>
            <w:vMerge/>
            <w:tcBorders>
              <w:top w:val="nil"/>
              <w:left w:val="single" w:sz="4" w:space="0" w:color="auto"/>
              <w:bottom w:val="single" w:sz="4" w:space="0" w:color="auto"/>
              <w:right w:val="single" w:sz="4" w:space="0" w:color="auto"/>
            </w:tcBorders>
            <w:vAlign w:val="center"/>
            <w:hideMark/>
          </w:tcPr>
          <w:p w14:paraId="771423CE" w14:textId="77777777" w:rsidR="00615F13" w:rsidRPr="00E619C8" w:rsidRDefault="00615F13" w:rsidP="00000841">
            <w:pPr>
              <w:rPr>
                <w:rFonts w:ascii="Arial" w:hAnsi="Arial" w:cs="Arial"/>
                <w:color w:val="000000"/>
                <w:sz w:val="22"/>
                <w:szCs w:val="22"/>
              </w:rPr>
            </w:pPr>
          </w:p>
        </w:tc>
      </w:tr>
      <w:tr w:rsidR="00615F13" w:rsidRPr="00E619C8" w14:paraId="12D08308" w14:textId="77777777" w:rsidTr="00000841">
        <w:trPr>
          <w:trHeight w:val="1104"/>
        </w:trPr>
        <w:tc>
          <w:tcPr>
            <w:tcW w:w="2211" w:type="dxa"/>
            <w:tcBorders>
              <w:top w:val="nil"/>
              <w:left w:val="single" w:sz="4" w:space="0" w:color="auto"/>
              <w:bottom w:val="single" w:sz="4" w:space="0" w:color="auto"/>
              <w:right w:val="single" w:sz="4" w:space="0" w:color="auto"/>
            </w:tcBorders>
            <w:vAlign w:val="center"/>
            <w:hideMark/>
          </w:tcPr>
          <w:p w14:paraId="75D03A09"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Pekerjaan Umum dan Penataan Ruang (Bidang Bina Marga)</w:t>
            </w:r>
          </w:p>
        </w:tc>
        <w:tc>
          <w:tcPr>
            <w:tcW w:w="3689" w:type="dxa"/>
            <w:tcBorders>
              <w:top w:val="nil"/>
              <w:left w:val="nil"/>
              <w:bottom w:val="single" w:sz="4" w:space="0" w:color="auto"/>
              <w:right w:val="single" w:sz="4" w:space="0" w:color="auto"/>
            </w:tcBorders>
            <w:vAlign w:val="center"/>
            <w:hideMark/>
          </w:tcPr>
          <w:p w14:paraId="504F67CD"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9.3 Penanganan Long Segment Ruas Jalan Rembiga - Pemenang</w:t>
            </w:r>
          </w:p>
        </w:tc>
        <w:tc>
          <w:tcPr>
            <w:tcW w:w="2010" w:type="dxa"/>
            <w:tcBorders>
              <w:top w:val="nil"/>
              <w:left w:val="nil"/>
              <w:bottom w:val="single" w:sz="4" w:space="0" w:color="auto"/>
              <w:right w:val="single" w:sz="4" w:space="0" w:color="auto"/>
            </w:tcBorders>
            <w:vAlign w:val="center"/>
            <w:hideMark/>
          </w:tcPr>
          <w:p w14:paraId="114DF8F8"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30.80</w:t>
            </w:r>
          </w:p>
        </w:tc>
        <w:tc>
          <w:tcPr>
            <w:tcW w:w="1085" w:type="dxa"/>
            <w:vMerge w:val="restart"/>
            <w:tcBorders>
              <w:top w:val="nil"/>
              <w:left w:val="single" w:sz="4" w:space="0" w:color="auto"/>
              <w:bottom w:val="single" w:sz="4" w:space="0" w:color="auto"/>
              <w:right w:val="single" w:sz="4" w:space="0" w:color="auto"/>
            </w:tcBorders>
            <w:vAlign w:val="center"/>
            <w:hideMark/>
          </w:tcPr>
          <w:p w14:paraId="7754FF3B"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29.51</w:t>
            </w:r>
          </w:p>
        </w:tc>
      </w:tr>
      <w:tr w:rsidR="00615F13" w:rsidRPr="00E619C8" w14:paraId="53982EAB" w14:textId="77777777" w:rsidTr="00000841">
        <w:trPr>
          <w:trHeight w:val="1020"/>
        </w:trPr>
        <w:tc>
          <w:tcPr>
            <w:tcW w:w="2211" w:type="dxa"/>
            <w:tcBorders>
              <w:top w:val="nil"/>
              <w:left w:val="single" w:sz="4" w:space="0" w:color="auto"/>
              <w:bottom w:val="single" w:sz="4" w:space="0" w:color="auto"/>
              <w:right w:val="single" w:sz="4" w:space="0" w:color="auto"/>
            </w:tcBorders>
            <w:vAlign w:val="center"/>
            <w:hideMark/>
          </w:tcPr>
          <w:p w14:paraId="643F827A"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Kelautan dan Perikanan</w:t>
            </w:r>
          </w:p>
        </w:tc>
        <w:tc>
          <w:tcPr>
            <w:tcW w:w="3689" w:type="dxa"/>
            <w:tcBorders>
              <w:top w:val="nil"/>
              <w:left w:val="nil"/>
              <w:bottom w:val="single" w:sz="4" w:space="0" w:color="auto"/>
              <w:right w:val="single" w:sz="4" w:space="0" w:color="auto"/>
            </w:tcBorders>
            <w:vAlign w:val="center"/>
            <w:hideMark/>
          </w:tcPr>
          <w:p w14:paraId="737D617A"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1.1 Perpanjangan Dermaga dan Fasilitas Pendukungnya Pelabuhan Perikanan Pantai Labuhan Lombok (DAK)</w:t>
            </w:r>
          </w:p>
        </w:tc>
        <w:tc>
          <w:tcPr>
            <w:tcW w:w="2010" w:type="dxa"/>
            <w:tcBorders>
              <w:top w:val="nil"/>
              <w:left w:val="nil"/>
              <w:bottom w:val="single" w:sz="4" w:space="0" w:color="auto"/>
              <w:right w:val="single" w:sz="4" w:space="0" w:color="auto"/>
            </w:tcBorders>
            <w:vAlign w:val="center"/>
            <w:hideMark/>
          </w:tcPr>
          <w:p w14:paraId="2C117963"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29.80</w:t>
            </w:r>
          </w:p>
        </w:tc>
        <w:tc>
          <w:tcPr>
            <w:tcW w:w="1085" w:type="dxa"/>
            <w:vMerge/>
            <w:tcBorders>
              <w:top w:val="nil"/>
              <w:left w:val="single" w:sz="4" w:space="0" w:color="auto"/>
              <w:bottom w:val="single" w:sz="4" w:space="0" w:color="auto"/>
              <w:right w:val="single" w:sz="4" w:space="0" w:color="auto"/>
            </w:tcBorders>
            <w:vAlign w:val="center"/>
            <w:hideMark/>
          </w:tcPr>
          <w:p w14:paraId="356A8C61" w14:textId="77777777" w:rsidR="00615F13" w:rsidRPr="00E619C8" w:rsidRDefault="00615F13" w:rsidP="00000841">
            <w:pPr>
              <w:rPr>
                <w:rFonts w:ascii="Arial" w:hAnsi="Arial" w:cs="Arial"/>
                <w:color w:val="000000"/>
                <w:sz w:val="22"/>
                <w:szCs w:val="22"/>
              </w:rPr>
            </w:pPr>
          </w:p>
        </w:tc>
      </w:tr>
      <w:tr w:rsidR="00615F13" w:rsidRPr="00E619C8" w14:paraId="13C0ADE2" w14:textId="77777777" w:rsidTr="00000841">
        <w:trPr>
          <w:trHeight w:val="552"/>
        </w:trPr>
        <w:tc>
          <w:tcPr>
            <w:tcW w:w="2211" w:type="dxa"/>
            <w:tcBorders>
              <w:top w:val="nil"/>
              <w:left w:val="single" w:sz="4" w:space="0" w:color="auto"/>
              <w:bottom w:val="single" w:sz="4" w:space="0" w:color="auto"/>
              <w:right w:val="single" w:sz="4" w:space="0" w:color="auto"/>
            </w:tcBorders>
            <w:vAlign w:val="center"/>
            <w:hideMark/>
          </w:tcPr>
          <w:p w14:paraId="10433043"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Kelautan dan Perikanan</w:t>
            </w:r>
          </w:p>
        </w:tc>
        <w:tc>
          <w:tcPr>
            <w:tcW w:w="3689" w:type="dxa"/>
            <w:tcBorders>
              <w:top w:val="nil"/>
              <w:left w:val="nil"/>
              <w:bottom w:val="single" w:sz="4" w:space="0" w:color="auto"/>
              <w:right w:val="single" w:sz="4" w:space="0" w:color="auto"/>
            </w:tcBorders>
            <w:vAlign w:val="center"/>
            <w:hideMark/>
          </w:tcPr>
          <w:p w14:paraId="7C9F4185"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1.2 Pengerukan Kolam Pelabuhan PP Sape</w:t>
            </w:r>
          </w:p>
        </w:tc>
        <w:tc>
          <w:tcPr>
            <w:tcW w:w="2010" w:type="dxa"/>
            <w:tcBorders>
              <w:top w:val="nil"/>
              <w:left w:val="nil"/>
              <w:bottom w:val="single" w:sz="4" w:space="0" w:color="auto"/>
              <w:right w:val="single" w:sz="4" w:space="0" w:color="auto"/>
            </w:tcBorders>
            <w:vAlign w:val="center"/>
            <w:hideMark/>
          </w:tcPr>
          <w:p w14:paraId="04A17A97"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29.80</w:t>
            </w:r>
          </w:p>
        </w:tc>
        <w:tc>
          <w:tcPr>
            <w:tcW w:w="1085" w:type="dxa"/>
            <w:vMerge/>
            <w:tcBorders>
              <w:top w:val="nil"/>
              <w:left w:val="single" w:sz="4" w:space="0" w:color="auto"/>
              <w:bottom w:val="single" w:sz="4" w:space="0" w:color="auto"/>
              <w:right w:val="single" w:sz="4" w:space="0" w:color="auto"/>
            </w:tcBorders>
            <w:vAlign w:val="center"/>
            <w:hideMark/>
          </w:tcPr>
          <w:p w14:paraId="41E89C4B" w14:textId="77777777" w:rsidR="00615F13" w:rsidRPr="00E619C8" w:rsidRDefault="00615F13" w:rsidP="00000841">
            <w:pPr>
              <w:rPr>
                <w:rFonts w:ascii="Arial" w:hAnsi="Arial" w:cs="Arial"/>
                <w:color w:val="000000"/>
                <w:sz w:val="22"/>
                <w:szCs w:val="22"/>
              </w:rPr>
            </w:pPr>
          </w:p>
        </w:tc>
      </w:tr>
      <w:tr w:rsidR="00615F13" w:rsidRPr="00E619C8" w14:paraId="5BFCC1D9" w14:textId="77777777" w:rsidTr="00000841">
        <w:trPr>
          <w:trHeight w:val="552"/>
        </w:trPr>
        <w:tc>
          <w:tcPr>
            <w:tcW w:w="2211" w:type="dxa"/>
            <w:tcBorders>
              <w:top w:val="nil"/>
              <w:left w:val="single" w:sz="4" w:space="0" w:color="auto"/>
              <w:bottom w:val="single" w:sz="4" w:space="0" w:color="auto"/>
              <w:right w:val="single" w:sz="4" w:space="0" w:color="auto"/>
            </w:tcBorders>
            <w:vAlign w:val="center"/>
            <w:hideMark/>
          </w:tcPr>
          <w:p w14:paraId="61DB7943"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Pertanian dan Perkebunan</w:t>
            </w:r>
          </w:p>
        </w:tc>
        <w:tc>
          <w:tcPr>
            <w:tcW w:w="3689" w:type="dxa"/>
            <w:tcBorders>
              <w:top w:val="nil"/>
              <w:left w:val="nil"/>
              <w:bottom w:val="single" w:sz="4" w:space="0" w:color="auto"/>
              <w:right w:val="single" w:sz="4" w:space="0" w:color="auto"/>
            </w:tcBorders>
            <w:vAlign w:val="center"/>
            <w:hideMark/>
          </w:tcPr>
          <w:p w14:paraId="3BC7E817"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11.1 Pembangunan Kawasan Industri Hasil Tembakau (KIHT)</w:t>
            </w:r>
          </w:p>
        </w:tc>
        <w:tc>
          <w:tcPr>
            <w:tcW w:w="2010" w:type="dxa"/>
            <w:tcBorders>
              <w:top w:val="nil"/>
              <w:left w:val="nil"/>
              <w:bottom w:val="single" w:sz="4" w:space="0" w:color="auto"/>
              <w:right w:val="single" w:sz="4" w:space="0" w:color="auto"/>
            </w:tcBorders>
            <w:vAlign w:val="center"/>
            <w:hideMark/>
          </w:tcPr>
          <w:p w14:paraId="7F1F91A5"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29.50</w:t>
            </w:r>
          </w:p>
        </w:tc>
        <w:tc>
          <w:tcPr>
            <w:tcW w:w="1085" w:type="dxa"/>
            <w:vMerge/>
            <w:tcBorders>
              <w:top w:val="nil"/>
              <w:left w:val="single" w:sz="4" w:space="0" w:color="auto"/>
              <w:bottom w:val="single" w:sz="4" w:space="0" w:color="auto"/>
              <w:right w:val="single" w:sz="4" w:space="0" w:color="auto"/>
            </w:tcBorders>
            <w:vAlign w:val="center"/>
            <w:hideMark/>
          </w:tcPr>
          <w:p w14:paraId="7923583B" w14:textId="77777777" w:rsidR="00615F13" w:rsidRPr="00E619C8" w:rsidRDefault="00615F13" w:rsidP="00000841">
            <w:pPr>
              <w:rPr>
                <w:rFonts w:ascii="Arial" w:hAnsi="Arial" w:cs="Arial"/>
                <w:color w:val="000000"/>
                <w:sz w:val="22"/>
                <w:szCs w:val="22"/>
              </w:rPr>
            </w:pPr>
          </w:p>
        </w:tc>
      </w:tr>
      <w:tr w:rsidR="00615F13" w:rsidRPr="00E619C8" w14:paraId="2FCEA37E" w14:textId="77777777" w:rsidTr="00000841">
        <w:trPr>
          <w:trHeight w:val="1152"/>
        </w:trPr>
        <w:tc>
          <w:tcPr>
            <w:tcW w:w="2211" w:type="dxa"/>
            <w:tcBorders>
              <w:top w:val="nil"/>
              <w:left w:val="single" w:sz="4" w:space="0" w:color="auto"/>
              <w:bottom w:val="single" w:sz="4" w:space="0" w:color="auto"/>
              <w:right w:val="single" w:sz="4" w:space="0" w:color="auto"/>
            </w:tcBorders>
            <w:vAlign w:val="center"/>
            <w:hideMark/>
          </w:tcPr>
          <w:p w14:paraId="0AA589C3"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Badan Pengelolaan Pendapatan Daerah</w:t>
            </w:r>
          </w:p>
        </w:tc>
        <w:tc>
          <w:tcPr>
            <w:tcW w:w="3689" w:type="dxa"/>
            <w:tcBorders>
              <w:top w:val="nil"/>
              <w:left w:val="nil"/>
              <w:bottom w:val="single" w:sz="4" w:space="0" w:color="auto"/>
              <w:right w:val="single" w:sz="4" w:space="0" w:color="auto"/>
            </w:tcBorders>
            <w:vAlign w:val="center"/>
            <w:hideMark/>
          </w:tcPr>
          <w:p w14:paraId="0BA2AED9"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13.1 Bangunan Gedung Kantor (Pembangunan Kantor Samsat Praya)</w:t>
            </w:r>
          </w:p>
        </w:tc>
        <w:tc>
          <w:tcPr>
            <w:tcW w:w="2010" w:type="dxa"/>
            <w:tcBorders>
              <w:top w:val="nil"/>
              <w:left w:val="nil"/>
              <w:bottom w:val="single" w:sz="4" w:space="0" w:color="auto"/>
              <w:right w:val="single" w:sz="4" w:space="0" w:color="auto"/>
            </w:tcBorders>
            <w:vAlign w:val="center"/>
            <w:hideMark/>
          </w:tcPr>
          <w:p w14:paraId="7B1A665D"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29.05</w:t>
            </w:r>
          </w:p>
        </w:tc>
        <w:tc>
          <w:tcPr>
            <w:tcW w:w="1085" w:type="dxa"/>
            <w:vMerge/>
            <w:tcBorders>
              <w:top w:val="nil"/>
              <w:left w:val="single" w:sz="4" w:space="0" w:color="auto"/>
              <w:bottom w:val="single" w:sz="4" w:space="0" w:color="auto"/>
              <w:right w:val="single" w:sz="4" w:space="0" w:color="auto"/>
            </w:tcBorders>
            <w:vAlign w:val="center"/>
            <w:hideMark/>
          </w:tcPr>
          <w:p w14:paraId="3ED5EC14" w14:textId="77777777" w:rsidR="00615F13" w:rsidRPr="00E619C8" w:rsidRDefault="00615F13" w:rsidP="00000841">
            <w:pPr>
              <w:rPr>
                <w:rFonts w:ascii="Arial" w:hAnsi="Arial" w:cs="Arial"/>
                <w:color w:val="000000"/>
                <w:sz w:val="22"/>
                <w:szCs w:val="22"/>
              </w:rPr>
            </w:pPr>
          </w:p>
        </w:tc>
      </w:tr>
      <w:tr w:rsidR="00615F13" w:rsidRPr="00E619C8" w14:paraId="55280109" w14:textId="77777777" w:rsidTr="00000841">
        <w:trPr>
          <w:trHeight w:val="576"/>
        </w:trPr>
        <w:tc>
          <w:tcPr>
            <w:tcW w:w="2211" w:type="dxa"/>
            <w:tcBorders>
              <w:top w:val="nil"/>
              <w:left w:val="single" w:sz="4" w:space="0" w:color="auto"/>
              <w:bottom w:val="single" w:sz="4" w:space="0" w:color="auto"/>
              <w:right w:val="single" w:sz="4" w:space="0" w:color="auto"/>
            </w:tcBorders>
            <w:vAlign w:val="center"/>
            <w:hideMark/>
          </w:tcPr>
          <w:p w14:paraId="2562E5A7"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Pekerjaan Umum dan Penataan Ruang (Bidang Sumber Daya Air)</w:t>
            </w:r>
          </w:p>
        </w:tc>
        <w:tc>
          <w:tcPr>
            <w:tcW w:w="3689" w:type="dxa"/>
            <w:tcBorders>
              <w:top w:val="nil"/>
              <w:left w:val="nil"/>
              <w:bottom w:val="single" w:sz="4" w:space="0" w:color="auto"/>
              <w:right w:val="single" w:sz="4" w:space="0" w:color="auto"/>
            </w:tcBorders>
            <w:vAlign w:val="center"/>
            <w:hideMark/>
          </w:tcPr>
          <w:p w14:paraId="5E10F914"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14.1 Rehabilitasi Jaringan Irigasi D.I. Daha I, II</w:t>
            </w:r>
          </w:p>
        </w:tc>
        <w:tc>
          <w:tcPr>
            <w:tcW w:w="2010" w:type="dxa"/>
            <w:tcBorders>
              <w:top w:val="nil"/>
              <w:left w:val="nil"/>
              <w:bottom w:val="single" w:sz="4" w:space="0" w:color="auto"/>
              <w:right w:val="single" w:sz="4" w:space="0" w:color="auto"/>
            </w:tcBorders>
            <w:vAlign w:val="center"/>
            <w:hideMark/>
          </w:tcPr>
          <w:p w14:paraId="4C30640F"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29.05</w:t>
            </w:r>
          </w:p>
        </w:tc>
        <w:tc>
          <w:tcPr>
            <w:tcW w:w="1085" w:type="dxa"/>
            <w:vMerge/>
            <w:tcBorders>
              <w:top w:val="nil"/>
              <w:left w:val="single" w:sz="4" w:space="0" w:color="auto"/>
              <w:bottom w:val="single" w:sz="4" w:space="0" w:color="auto"/>
              <w:right w:val="single" w:sz="4" w:space="0" w:color="auto"/>
            </w:tcBorders>
            <w:vAlign w:val="center"/>
            <w:hideMark/>
          </w:tcPr>
          <w:p w14:paraId="777B6D96" w14:textId="77777777" w:rsidR="00615F13" w:rsidRPr="00E619C8" w:rsidRDefault="00615F13" w:rsidP="00000841">
            <w:pPr>
              <w:rPr>
                <w:rFonts w:ascii="Arial" w:hAnsi="Arial" w:cs="Arial"/>
                <w:color w:val="000000"/>
                <w:sz w:val="22"/>
                <w:szCs w:val="22"/>
              </w:rPr>
            </w:pPr>
          </w:p>
        </w:tc>
      </w:tr>
      <w:tr w:rsidR="00615F13" w:rsidRPr="00E619C8" w14:paraId="4B71D517" w14:textId="77777777" w:rsidTr="00000841">
        <w:trPr>
          <w:trHeight w:val="864"/>
        </w:trPr>
        <w:tc>
          <w:tcPr>
            <w:tcW w:w="2211" w:type="dxa"/>
            <w:tcBorders>
              <w:top w:val="nil"/>
              <w:left w:val="single" w:sz="4" w:space="0" w:color="auto"/>
              <w:bottom w:val="single" w:sz="4" w:space="0" w:color="auto"/>
              <w:right w:val="single" w:sz="4" w:space="0" w:color="auto"/>
            </w:tcBorders>
            <w:vAlign w:val="center"/>
            <w:hideMark/>
          </w:tcPr>
          <w:p w14:paraId="7ABCA589"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Perumahan dan Permukiman</w:t>
            </w:r>
          </w:p>
        </w:tc>
        <w:tc>
          <w:tcPr>
            <w:tcW w:w="3689" w:type="dxa"/>
            <w:tcBorders>
              <w:top w:val="nil"/>
              <w:left w:val="nil"/>
              <w:bottom w:val="single" w:sz="4" w:space="0" w:color="auto"/>
              <w:right w:val="single" w:sz="4" w:space="0" w:color="auto"/>
            </w:tcBorders>
            <w:vAlign w:val="center"/>
            <w:hideMark/>
          </w:tcPr>
          <w:p w14:paraId="32276EDC"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15.1 Paket 72.330 PPSU Kebon Kongok Kec. Gerung Kab. Lombok Barat</w:t>
            </w:r>
          </w:p>
        </w:tc>
        <w:tc>
          <w:tcPr>
            <w:tcW w:w="2010" w:type="dxa"/>
            <w:tcBorders>
              <w:top w:val="nil"/>
              <w:left w:val="nil"/>
              <w:bottom w:val="single" w:sz="4" w:space="0" w:color="auto"/>
              <w:right w:val="single" w:sz="4" w:space="0" w:color="auto"/>
            </w:tcBorders>
            <w:vAlign w:val="center"/>
            <w:hideMark/>
          </w:tcPr>
          <w:p w14:paraId="2DD4AB97"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29.05</w:t>
            </w:r>
          </w:p>
        </w:tc>
        <w:tc>
          <w:tcPr>
            <w:tcW w:w="1085" w:type="dxa"/>
            <w:vMerge/>
            <w:tcBorders>
              <w:top w:val="nil"/>
              <w:left w:val="single" w:sz="4" w:space="0" w:color="auto"/>
              <w:bottom w:val="single" w:sz="4" w:space="0" w:color="auto"/>
              <w:right w:val="single" w:sz="4" w:space="0" w:color="auto"/>
            </w:tcBorders>
            <w:vAlign w:val="center"/>
            <w:hideMark/>
          </w:tcPr>
          <w:p w14:paraId="52C78623" w14:textId="77777777" w:rsidR="00615F13" w:rsidRPr="00E619C8" w:rsidRDefault="00615F13" w:rsidP="00000841">
            <w:pPr>
              <w:rPr>
                <w:rFonts w:ascii="Arial" w:hAnsi="Arial" w:cs="Arial"/>
                <w:color w:val="000000"/>
                <w:sz w:val="22"/>
                <w:szCs w:val="22"/>
              </w:rPr>
            </w:pPr>
          </w:p>
        </w:tc>
      </w:tr>
      <w:tr w:rsidR="00615F13" w:rsidRPr="00E619C8" w14:paraId="2383C251" w14:textId="77777777" w:rsidTr="00000841">
        <w:trPr>
          <w:trHeight w:val="576"/>
        </w:trPr>
        <w:tc>
          <w:tcPr>
            <w:tcW w:w="2211" w:type="dxa"/>
            <w:tcBorders>
              <w:top w:val="nil"/>
              <w:left w:val="single" w:sz="4" w:space="0" w:color="auto"/>
              <w:bottom w:val="single" w:sz="4" w:space="0" w:color="auto"/>
              <w:right w:val="single" w:sz="4" w:space="0" w:color="auto"/>
            </w:tcBorders>
            <w:vAlign w:val="center"/>
            <w:hideMark/>
          </w:tcPr>
          <w:p w14:paraId="6908AE2B"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RSUD NTB</w:t>
            </w:r>
          </w:p>
        </w:tc>
        <w:tc>
          <w:tcPr>
            <w:tcW w:w="3689" w:type="dxa"/>
            <w:tcBorders>
              <w:top w:val="nil"/>
              <w:left w:val="nil"/>
              <w:bottom w:val="single" w:sz="4" w:space="0" w:color="auto"/>
              <w:right w:val="single" w:sz="4" w:space="0" w:color="auto"/>
            </w:tcBorders>
            <w:vAlign w:val="center"/>
            <w:hideMark/>
          </w:tcPr>
          <w:p w14:paraId="0D0E8728"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16.1 Pembangunan Lanjutan Gedung IGD Covid-19 &amp; Trauma Center RSUD NTB</w:t>
            </w:r>
          </w:p>
        </w:tc>
        <w:tc>
          <w:tcPr>
            <w:tcW w:w="2010" w:type="dxa"/>
            <w:tcBorders>
              <w:top w:val="nil"/>
              <w:left w:val="nil"/>
              <w:bottom w:val="single" w:sz="4" w:space="0" w:color="auto"/>
              <w:right w:val="single" w:sz="4" w:space="0" w:color="auto"/>
            </w:tcBorders>
            <w:vAlign w:val="center"/>
            <w:hideMark/>
          </w:tcPr>
          <w:p w14:paraId="0163D3B7"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29.05</w:t>
            </w:r>
          </w:p>
        </w:tc>
        <w:tc>
          <w:tcPr>
            <w:tcW w:w="1085" w:type="dxa"/>
            <w:vMerge/>
            <w:tcBorders>
              <w:top w:val="nil"/>
              <w:left w:val="single" w:sz="4" w:space="0" w:color="auto"/>
              <w:bottom w:val="single" w:sz="4" w:space="0" w:color="auto"/>
              <w:right w:val="single" w:sz="4" w:space="0" w:color="auto"/>
            </w:tcBorders>
            <w:vAlign w:val="center"/>
            <w:hideMark/>
          </w:tcPr>
          <w:p w14:paraId="6DBDC036" w14:textId="77777777" w:rsidR="00615F13" w:rsidRPr="00E619C8" w:rsidRDefault="00615F13" w:rsidP="00000841">
            <w:pPr>
              <w:rPr>
                <w:rFonts w:ascii="Arial" w:hAnsi="Arial" w:cs="Arial"/>
                <w:color w:val="000000"/>
                <w:sz w:val="22"/>
                <w:szCs w:val="22"/>
              </w:rPr>
            </w:pPr>
          </w:p>
        </w:tc>
      </w:tr>
      <w:tr w:rsidR="00615F13" w:rsidRPr="00E619C8" w14:paraId="65C18718" w14:textId="77777777" w:rsidTr="00000841">
        <w:trPr>
          <w:trHeight w:val="288"/>
        </w:trPr>
        <w:tc>
          <w:tcPr>
            <w:tcW w:w="2211" w:type="dxa"/>
            <w:tcBorders>
              <w:top w:val="nil"/>
              <w:left w:val="single" w:sz="4" w:space="0" w:color="auto"/>
              <w:bottom w:val="single" w:sz="4" w:space="0" w:color="auto"/>
              <w:right w:val="single" w:sz="4" w:space="0" w:color="auto"/>
            </w:tcBorders>
            <w:vAlign w:val="center"/>
            <w:hideMark/>
          </w:tcPr>
          <w:p w14:paraId="10C2759F"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Rumah Sakit Jiwa Mutiara Sukma Provinsi</w:t>
            </w:r>
          </w:p>
        </w:tc>
        <w:tc>
          <w:tcPr>
            <w:tcW w:w="3689" w:type="dxa"/>
            <w:tcBorders>
              <w:top w:val="nil"/>
              <w:left w:val="nil"/>
              <w:bottom w:val="single" w:sz="4" w:space="0" w:color="auto"/>
              <w:right w:val="single" w:sz="4" w:space="0" w:color="auto"/>
            </w:tcBorders>
            <w:vAlign w:val="center"/>
            <w:hideMark/>
          </w:tcPr>
          <w:p w14:paraId="0F270039"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17.1 Bangunan Baru Gedung Rehab Napza Sarana RS</w:t>
            </w:r>
          </w:p>
        </w:tc>
        <w:tc>
          <w:tcPr>
            <w:tcW w:w="2010" w:type="dxa"/>
            <w:tcBorders>
              <w:top w:val="nil"/>
              <w:left w:val="nil"/>
              <w:bottom w:val="single" w:sz="4" w:space="0" w:color="auto"/>
              <w:right w:val="single" w:sz="4" w:space="0" w:color="auto"/>
            </w:tcBorders>
            <w:vAlign w:val="center"/>
            <w:hideMark/>
          </w:tcPr>
          <w:p w14:paraId="66404BAB"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29.05</w:t>
            </w:r>
          </w:p>
        </w:tc>
        <w:tc>
          <w:tcPr>
            <w:tcW w:w="1085" w:type="dxa"/>
            <w:vMerge w:val="restart"/>
            <w:tcBorders>
              <w:top w:val="nil"/>
              <w:left w:val="single" w:sz="4" w:space="0" w:color="auto"/>
              <w:bottom w:val="single" w:sz="4" w:space="0" w:color="auto"/>
              <w:right w:val="single" w:sz="4" w:space="0" w:color="auto"/>
            </w:tcBorders>
            <w:vAlign w:val="center"/>
            <w:hideMark/>
          </w:tcPr>
          <w:p w14:paraId="4BA3CB78"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28.88</w:t>
            </w:r>
          </w:p>
        </w:tc>
      </w:tr>
      <w:tr w:rsidR="00615F13" w:rsidRPr="00E619C8" w14:paraId="75EB5E6B" w14:textId="77777777" w:rsidTr="00000841">
        <w:trPr>
          <w:trHeight w:val="576"/>
        </w:trPr>
        <w:tc>
          <w:tcPr>
            <w:tcW w:w="2211" w:type="dxa"/>
            <w:tcBorders>
              <w:top w:val="nil"/>
              <w:left w:val="single" w:sz="4" w:space="0" w:color="auto"/>
              <w:bottom w:val="single" w:sz="4" w:space="0" w:color="auto"/>
              <w:right w:val="single" w:sz="4" w:space="0" w:color="auto"/>
            </w:tcBorders>
            <w:vAlign w:val="center"/>
            <w:hideMark/>
          </w:tcPr>
          <w:p w14:paraId="4C688F04"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Rumah Sakit Mandalika</w:t>
            </w:r>
          </w:p>
        </w:tc>
        <w:tc>
          <w:tcPr>
            <w:tcW w:w="3689" w:type="dxa"/>
            <w:tcBorders>
              <w:top w:val="nil"/>
              <w:left w:val="nil"/>
              <w:bottom w:val="single" w:sz="4" w:space="0" w:color="auto"/>
              <w:right w:val="single" w:sz="4" w:space="0" w:color="auto"/>
            </w:tcBorders>
            <w:vAlign w:val="center"/>
            <w:hideMark/>
          </w:tcPr>
          <w:p w14:paraId="62436A7D"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18.1 Pembangunan Gedung Rawat Inap</w:t>
            </w:r>
          </w:p>
        </w:tc>
        <w:tc>
          <w:tcPr>
            <w:tcW w:w="2010" w:type="dxa"/>
            <w:tcBorders>
              <w:top w:val="nil"/>
              <w:left w:val="nil"/>
              <w:bottom w:val="single" w:sz="4" w:space="0" w:color="auto"/>
              <w:right w:val="single" w:sz="4" w:space="0" w:color="auto"/>
            </w:tcBorders>
            <w:vAlign w:val="center"/>
            <w:hideMark/>
          </w:tcPr>
          <w:p w14:paraId="4F5915AD"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29.05</w:t>
            </w:r>
          </w:p>
        </w:tc>
        <w:tc>
          <w:tcPr>
            <w:tcW w:w="1085" w:type="dxa"/>
            <w:vMerge/>
            <w:tcBorders>
              <w:top w:val="nil"/>
              <w:left w:val="single" w:sz="4" w:space="0" w:color="auto"/>
              <w:bottom w:val="single" w:sz="4" w:space="0" w:color="auto"/>
              <w:right w:val="single" w:sz="4" w:space="0" w:color="auto"/>
            </w:tcBorders>
            <w:vAlign w:val="center"/>
            <w:hideMark/>
          </w:tcPr>
          <w:p w14:paraId="27A166A4" w14:textId="77777777" w:rsidR="00615F13" w:rsidRPr="00E619C8" w:rsidRDefault="00615F13" w:rsidP="00000841">
            <w:pPr>
              <w:rPr>
                <w:rFonts w:ascii="Arial" w:hAnsi="Arial" w:cs="Arial"/>
                <w:color w:val="000000"/>
                <w:sz w:val="22"/>
                <w:szCs w:val="22"/>
              </w:rPr>
            </w:pPr>
          </w:p>
        </w:tc>
      </w:tr>
      <w:tr w:rsidR="00615F13" w:rsidRPr="00E619C8" w14:paraId="156EF67A" w14:textId="77777777" w:rsidTr="00000841">
        <w:trPr>
          <w:trHeight w:val="864"/>
        </w:trPr>
        <w:tc>
          <w:tcPr>
            <w:tcW w:w="2211" w:type="dxa"/>
            <w:tcBorders>
              <w:top w:val="nil"/>
              <w:left w:val="single" w:sz="4" w:space="0" w:color="auto"/>
              <w:bottom w:val="single" w:sz="4" w:space="0" w:color="auto"/>
              <w:right w:val="single" w:sz="4" w:space="0" w:color="auto"/>
            </w:tcBorders>
            <w:vAlign w:val="center"/>
            <w:hideMark/>
          </w:tcPr>
          <w:p w14:paraId="61921B97"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Rumah Sakit Mandalika</w:t>
            </w:r>
          </w:p>
        </w:tc>
        <w:tc>
          <w:tcPr>
            <w:tcW w:w="3689" w:type="dxa"/>
            <w:tcBorders>
              <w:top w:val="nil"/>
              <w:left w:val="nil"/>
              <w:bottom w:val="single" w:sz="4" w:space="0" w:color="auto"/>
              <w:right w:val="single" w:sz="4" w:space="0" w:color="auto"/>
            </w:tcBorders>
            <w:vAlign w:val="center"/>
            <w:hideMark/>
          </w:tcPr>
          <w:p w14:paraId="3D395F46"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18.2 Finishing Ruang Rawat Inap RS Mandalika</w:t>
            </w:r>
          </w:p>
        </w:tc>
        <w:tc>
          <w:tcPr>
            <w:tcW w:w="2010" w:type="dxa"/>
            <w:tcBorders>
              <w:top w:val="nil"/>
              <w:left w:val="nil"/>
              <w:bottom w:val="single" w:sz="4" w:space="0" w:color="auto"/>
              <w:right w:val="single" w:sz="4" w:space="0" w:color="auto"/>
            </w:tcBorders>
            <w:vAlign w:val="center"/>
            <w:hideMark/>
          </w:tcPr>
          <w:p w14:paraId="5D08DE17"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29.05</w:t>
            </w:r>
          </w:p>
        </w:tc>
        <w:tc>
          <w:tcPr>
            <w:tcW w:w="1085" w:type="dxa"/>
            <w:vMerge/>
            <w:tcBorders>
              <w:top w:val="nil"/>
              <w:left w:val="single" w:sz="4" w:space="0" w:color="auto"/>
              <w:bottom w:val="single" w:sz="4" w:space="0" w:color="auto"/>
              <w:right w:val="single" w:sz="4" w:space="0" w:color="auto"/>
            </w:tcBorders>
            <w:vAlign w:val="center"/>
            <w:hideMark/>
          </w:tcPr>
          <w:p w14:paraId="383CF425" w14:textId="77777777" w:rsidR="00615F13" w:rsidRPr="00E619C8" w:rsidRDefault="00615F13" w:rsidP="00000841">
            <w:pPr>
              <w:rPr>
                <w:rFonts w:ascii="Arial" w:hAnsi="Arial" w:cs="Arial"/>
                <w:color w:val="000000"/>
                <w:sz w:val="22"/>
                <w:szCs w:val="22"/>
              </w:rPr>
            </w:pPr>
          </w:p>
        </w:tc>
      </w:tr>
      <w:tr w:rsidR="00615F13" w:rsidRPr="00E619C8" w14:paraId="5AA4D325" w14:textId="77777777" w:rsidTr="00000841">
        <w:trPr>
          <w:trHeight w:val="900"/>
        </w:trPr>
        <w:tc>
          <w:tcPr>
            <w:tcW w:w="2211" w:type="dxa"/>
            <w:tcBorders>
              <w:top w:val="nil"/>
              <w:left w:val="single" w:sz="4" w:space="0" w:color="auto"/>
              <w:bottom w:val="single" w:sz="4" w:space="0" w:color="auto"/>
              <w:right w:val="single" w:sz="4" w:space="0" w:color="auto"/>
            </w:tcBorders>
            <w:vAlign w:val="center"/>
            <w:hideMark/>
          </w:tcPr>
          <w:p w14:paraId="5CF2614A"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Sekretariat Dewan Perwakilan Rakyat Daerah</w:t>
            </w:r>
          </w:p>
        </w:tc>
        <w:tc>
          <w:tcPr>
            <w:tcW w:w="3689" w:type="dxa"/>
            <w:tcBorders>
              <w:top w:val="nil"/>
              <w:left w:val="nil"/>
              <w:bottom w:val="single" w:sz="4" w:space="0" w:color="auto"/>
              <w:right w:val="single" w:sz="4" w:space="0" w:color="auto"/>
            </w:tcBorders>
            <w:vAlign w:val="center"/>
            <w:hideMark/>
          </w:tcPr>
          <w:p w14:paraId="598B2BD9"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19.1 Belanja Modal Bangunan Gedung Kantor - Renovasi Ruang Komisi</w:t>
            </w:r>
          </w:p>
        </w:tc>
        <w:tc>
          <w:tcPr>
            <w:tcW w:w="2010" w:type="dxa"/>
            <w:tcBorders>
              <w:top w:val="nil"/>
              <w:left w:val="nil"/>
              <w:bottom w:val="single" w:sz="4" w:space="0" w:color="auto"/>
              <w:right w:val="single" w:sz="4" w:space="0" w:color="auto"/>
            </w:tcBorders>
            <w:vAlign w:val="center"/>
            <w:hideMark/>
          </w:tcPr>
          <w:p w14:paraId="4B1E071D"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29.05</w:t>
            </w:r>
          </w:p>
        </w:tc>
        <w:tc>
          <w:tcPr>
            <w:tcW w:w="1085" w:type="dxa"/>
            <w:vMerge/>
            <w:tcBorders>
              <w:top w:val="nil"/>
              <w:left w:val="single" w:sz="4" w:space="0" w:color="auto"/>
              <w:bottom w:val="single" w:sz="4" w:space="0" w:color="auto"/>
              <w:right w:val="single" w:sz="4" w:space="0" w:color="auto"/>
            </w:tcBorders>
            <w:vAlign w:val="center"/>
            <w:hideMark/>
          </w:tcPr>
          <w:p w14:paraId="5A03B0DC" w14:textId="77777777" w:rsidR="00615F13" w:rsidRPr="00E619C8" w:rsidRDefault="00615F13" w:rsidP="00000841">
            <w:pPr>
              <w:rPr>
                <w:rFonts w:ascii="Arial" w:hAnsi="Arial" w:cs="Arial"/>
                <w:color w:val="000000"/>
                <w:sz w:val="22"/>
                <w:szCs w:val="22"/>
              </w:rPr>
            </w:pPr>
          </w:p>
        </w:tc>
      </w:tr>
      <w:tr w:rsidR="00615F13" w:rsidRPr="00E619C8" w14:paraId="1A8D1400" w14:textId="77777777" w:rsidTr="00000841">
        <w:trPr>
          <w:trHeight w:val="1104"/>
        </w:trPr>
        <w:tc>
          <w:tcPr>
            <w:tcW w:w="2211" w:type="dxa"/>
            <w:tcBorders>
              <w:top w:val="nil"/>
              <w:left w:val="single" w:sz="4" w:space="0" w:color="auto"/>
              <w:bottom w:val="single" w:sz="4" w:space="0" w:color="auto"/>
              <w:right w:val="single" w:sz="4" w:space="0" w:color="auto"/>
            </w:tcBorders>
            <w:vAlign w:val="center"/>
            <w:hideMark/>
          </w:tcPr>
          <w:p w14:paraId="00450983"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Pekerjaan Umum dan Penataan Ruang (Bidang Sumber Daya Air)</w:t>
            </w:r>
          </w:p>
        </w:tc>
        <w:tc>
          <w:tcPr>
            <w:tcW w:w="3689" w:type="dxa"/>
            <w:tcBorders>
              <w:top w:val="nil"/>
              <w:left w:val="nil"/>
              <w:bottom w:val="single" w:sz="4" w:space="0" w:color="auto"/>
              <w:right w:val="single" w:sz="4" w:space="0" w:color="auto"/>
            </w:tcBorders>
            <w:vAlign w:val="center"/>
            <w:hideMark/>
          </w:tcPr>
          <w:p w14:paraId="738A9C9C"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14.3 Pembangunan Jaringan Distribusi SPAM Skeper Kabupaten Lombok Utara</w:t>
            </w:r>
          </w:p>
        </w:tc>
        <w:tc>
          <w:tcPr>
            <w:tcW w:w="2010" w:type="dxa"/>
            <w:tcBorders>
              <w:top w:val="nil"/>
              <w:left w:val="nil"/>
              <w:bottom w:val="single" w:sz="4" w:space="0" w:color="auto"/>
              <w:right w:val="single" w:sz="4" w:space="0" w:color="auto"/>
            </w:tcBorders>
            <w:vAlign w:val="center"/>
            <w:hideMark/>
          </w:tcPr>
          <w:p w14:paraId="27A70B74"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29.05</w:t>
            </w:r>
          </w:p>
        </w:tc>
        <w:tc>
          <w:tcPr>
            <w:tcW w:w="1085" w:type="dxa"/>
            <w:vMerge/>
            <w:tcBorders>
              <w:top w:val="nil"/>
              <w:left w:val="single" w:sz="4" w:space="0" w:color="auto"/>
              <w:bottom w:val="single" w:sz="4" w:space="0" w:color="auto"/>
              <w:right w:val="single" w:sz="4" w:space="0" w:color="auto"/>
            </w:tcBorders>
            <w:vAlign w:val="center"/>
            <w:hideMark/>
          </w:tcPr>
          <w:p w14:paraId="4E6F2FE4" w14:textId="77777777" w:rsidR="00615F13" w:rsidRPr="00E619C8" w:rsidRDefault="00615F13" w:rsidP="00000841">
            <w:pPr>
              <w:rPr>
                <w:rFonts w:ascii="Arial" w:hAnsi="Arial" w:cs="Arial"/>
                <w:color w:val="000000"/>
                <w:sz w:val="22"/>
                <w:szCs w:val="22"/>
              </w:rPr>
            </w:pPr>
          </w:p>
        </w:tc>
      </w:tr>
      <w:tr w:rsidR="00615F13" w:rsidRPr="00E619C8" w14:paraId="3503A3E6" w14:textId="77777777" w:rsidTr="00000841">
        <w:trPr>
          <w:trHeight w:val="828"/>
        </w:trPr>
        <w:tc>
          <w:tcPr>
            <w:tcW w:w="2211" w:type="dxa"/>
            <w:tcBorders>
              <w:top w:val="nil"/>
              <w:left w:val="single" w:sz="4" w:space="0" w:color="auto"/>
              <w:bottom w:val="single" w:sz="4" w:space="0" w:color="auto"/>
              <w:right w:val="single" w:sz="4" w:space="0" w:color="auto"/>
            </w:tcBorders>
            <w:vAlign w:val="center"/>
            <w:hideMark/>
          </w:tcPr>
          <w:p w14:paraId="3144F322"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Rumah Sakit H. L. Manambai Abdul Kadir</w:t>
            </w:r>
          </w:p>
        </w:tc>
        <w:tc>
          <w:tcPr>
            <w:tcW w:w="3689" w:type="dxa"/>
            <w:tcBorders>
              <w:top w:val="nil"/>
              <w:left w:val="nil"/>
              <w:bottom w:val="single" w:sz="4" w:space="0" w:color="auto"/>
              <w:right w:val="single" w:sz="4" w:space="0" w:color="auto"/>
            </w:tcBorders>
            <w:vAlign w:val="center"/>
            <w:hideMark/>
          </w:tcPr>
          <w:p w14:paraId="3D301C7E"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12.1 Pembangunan Gedung Perawatan TB dan Paru</w:t>
            </w:r>
          </w:p>
        </w:tc>
        <w:tc>
          <w:tcPr>
            <w:tcW w:w="2010" w:type="dxa"/>
            <w:tcBorders>
              <w:top w:val="nil"/>
              <w:left w:val="nil"/>
              <w:bottom w:val="single" w:sz="4" w:space="0" w:color="auto"/>
              <w:right w:val="single" w:sz="4" w:space="0" w:color="auto"/>
            </w:tcBorders>
            <w:vAlign w:val="center"/>
            <w:hideMark/>
          </w:tcPr>
          <w:p w14:paraId="79C1F000"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28.90</w:t>
            </w:r>
          </w:p>
        </w:tc>
        <w:tc>
          <w:tcPr>
            <w:tcW w:w="1085" w:type="dxa"/>
            <w:vMerge/>
            <w:tcBorders>
              <w:top w:val="nil"/>
              <w:left w:val="single" w:sz="4" w:space="0" w:color="auto"/>
              <w:bottom w:val="single" w:sz="4" w:space="0" w:color="auto"/>
              <w:right w:val="single" w:sz="4" w:space="0" w:color="auto"/>
            </w:tcBorders>
            <w:vAlign w:val="center"/>
            <w:hideMark/>
          </w:tcPr>
          <w:p w14:paraId="2021353A" w14:textId="77777777" w:rsidR="00615F13" w:rsidRPr="00E619C8" w:rsidRDefault="00615F13" w:rsidP="00000841">
            <w:pPr>
              <w:rPr>
                <w:rFonts w:ascii="Arial" w:hAnsi="Arial" w:cs="Arial"/>
                <w:color w:val="000000"/>
                <w:sz w:val="22"/>
                <w:szCs w:val="22"/>
              </w:rPr>
            </w:pPr>
          </w:p>
        </w:tc>
      </w:tr>
      <w:tr w:rsidR="00615F13" w:rsidRPr="00E619C8" w14:paraId="77AD47BF" w14:textId="77777777" w:rsidTr="00000841">
        <w:trPr>
          <w:trHeight w:val="1236"/>
        </w:trPr>
        <w:tc>
          <w:tcPr>
            <w:tcW w:w="2211" w:type="dxa"/>
            <w:tcBorders>
              <w:top w:val="nil"/>
              <w:left w:val="single" w:sz="4" w:space="0" w:color="auto"/>
              <w:bottom w:val="single" w:sz="4" w:space="0" w:color="auto"/>
              <w:right w:val="single" w:sz="4" w:space="0" w:color="auto"/>
            </w:tcBorders>
            <w:vAlign w:val="center"/>
            <w:hideMark/>
          </w:tcPr>
          <w:p w14:paraId="67B38060"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Pekerjaan Umum dan Penataan Ruang (Bidang Sumber Daya Air)</w:t>
            </w:r>
          </w:p>
        </w:tc>
        <w:tc>
          <w:tcPr>
            <w:tcW w:w="3689" w:type="dxa"/>
            <w:tcBorders>
              <w:top w:val="nil"/>
              <w:left w:val="nil"/>
              <w:bottom w:val="single" w:sz="4" w:space="0" w:color="auto"/>
              <w:right w:val="single" w:sz="4" w:space="0" w:color="auto"/>
            </w:tcBorders>
            <w:vAlign w:val="center"/>
            <w:hideMark/>
          </w:tcPr>
          <w:p w14:paraId="6C50CA33"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14.2 Rehabilitasi Jaringan Irigasi D,I, Rutus (Pulau Lombok)</w:t>
            </w:r>
          </w:p>
        </w:tc>
        <w:tc>
          <w:tcPr>
            <w:tcW w:w="2010" w:type="dxa"/>
            <w:tcBorders>
              <w:top w:val="nil"/>
              <w:left w:val="nil"/>
              <w:bottom w:val="single" w:sz="4" w:space="0" w:color="auto"/>
              <w:right w:val="single" w:sz="4" w:space="0" w:color="auto"/>
            </w:tcBorders>
            <w:vAlign w:val="center"/>
            <w:hideMark/>
          </w:tcPr>
          <w:p w14:paraId="7269F2DF"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28.60</w:t>
            </w:r>
          </w:p>
        </w:tc>
        <w:tc>
          <w:tcPr>
            <w:tcW w:w="1085" w:type="dxa"/>
            <w:vMerge/>
            <w:tcBorders>
              <w:top w:val="nil"/>
              <w:left w:val="single" w:sz="4" w:space="0" w:color="auto"/>
              <w:bottom w:val="single" w:sz="4" w:space="0" w:color="auto"/>
              <w:right w:val="single" w:sz="4" w:space="0" w:color="auto"/>
            </w:tcBorders>
            <w:vAlign w:val="center"/>
            <w:hideMark/>
          </w:tcPr>
          <w:p w14:paraId="659747E0" w14:textId="77777777" w:rsidR="00615F13" w:rsidRPr="00E619C8" w:rsidRDefault="00615F13" w:rsidP="00000841">
            <w:pPr>
              <w:rPr>
                <w:rFonts w:ascii="Arial" w:hAnsi="Arial" w:cs="Arial"/>
                <w:color w:val="000000"/>
                <w:sz w:val="22"/>
                <w:szCs w:val="22"/>
              </w:rPr>
            </w:pPr>
          </w:p>
        </w:tc>
      </w:tr>
      <w:tr w:rsidR="00615F13" w:rsidRPr="00E619C8" w14:paraId="5A62C06A" w14:textId="77777777" w:rsidTr="00000841">
        <w:trPr>
          <w:trHeight w:val="552"/>
        </w:trPr>
        <w:tc>
          <w:tcPr>
            <w:tcW w:w="2211" w:type="dxa"/>
            <w:tcBorders>
              <w:top w:val="nil"/>
              <w:left w:val="single" w:sz="4" w:space="0" w:color="auto"/>
              <w:bottom w:val="single" w:sz="4" w:space="0" w:color="auto"/>
              <w:right w:val="single" w:sz="4" w:space="0" w:color="auto"/>
            </w:tcBorders>
            <w:vAlign w:val="center"/>
            <w:hideMark/>
          </w:tcPr>
          <w:p w14:paraId="4DA64F64"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Perpustakaan dan Kearsipan</w:t>
            </w:r>
          </w:p>
        </w:tc>
        <w:tc>
          <w:tcPr>
            <w:tcW w:w="3689" w:type="dxa"/>
            <w:tcBorders>
              <w:top w:val="nil"/>
              <w:left w:val="nil"/>
              <w:bottom w:val="single" w:sz="4" w:space="0" w:color="auto"/>
              <w:right w:val="single" w:sz="4" w:space="0" w:color="auto"/>
            </w:tcBorders>
            <w:vAlign w:val="center"/>
            <w:hideMark/>
          </w:tcPr>
          <w:p w14:paraId="0040837A"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6.1 Pembangunan Gedung Perpustakaan</w:t>
            </w:r>
          </w:p>
        </w:tc>
        <w:tc>
          <w:tcPr>
            <w:tcW w:w="2010" w:type="dxa"/>
            <w:tcBorders>
              <w:top w:val="nil"/>
              <w:left w:val="nil"/>
              <w:bottom w:val="single" w:sz="4" w:space="0" w:color="auto"/>
              <w:right w:val="single" w:sz="4" w:space="0" w:color="auto"/>
            </w:tcBorders>
            <w:vAlign w:val="center"/>
            <w:hideMark/>
          </w:tcPr>
          <w:p w14:paraId="4600921F"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28.30</w:t>
            </w:r>
          </w:p>
        </w:tc>
        <w:tc>
          <w:tcPr>
            <w:tcW w:w="1085" w:type="dxa"/>
            <w:vMerge/>
            <w:tcBorders>
              <w:top w:val="nil"/>
              <w:left w:val="single" w:sz="4" w:space="0" w:color="auto"/>
              <w:bottom w:val="single" w:sz="4" w:space="0" w:color="auto"/>
              <w:right w:val="single" w:sz="4" w:space="0" w:color="auto"/>
            </w:tcBorders>
            <w:vAlign w:val="center"/>
            <w:hideMark/>
          </w:tcPr>
          <w:p w14:paraId="1EF28EF3" w14:textId="77777777" w:rsidR="00615F13" w:rsidRPr="00E619C8" w:rsidRDefault="00615F13" w:rsidP="00000841">
            <w:pPr>
              <w:rPr>
                <w:rFonts w:ascii="Arial" w:hAnsi="Arial" w:cs="Arial"/>
                <w:color w:val="000000"/>
                <w:sz w:val="22"/>
                <w:szCs w:val="22"/>
              </w:rPr>
            </w:pPr>
          </w:p>
        </w:tc>
      </w:tr>
      <w:tr w:rsidR="00615F13" w:rsidRPr="00E619C8" w14:paraId="006E45E0" w14:textId="77777777" w:rsidTr="00000841">
        <w:trPr>
          <w:trHeight w:val="876"/>
        </w:trPr>
        <w:tc>
          <w:tcPr>
            <w:tcW w:w="2211" w:type="dxa"/>
            <w:tcBorders>
              <w:top w:val="nil"/>
              <w:left w:val="single" w:sz="4" w:space="0" w:color="auto"/>
              <w:bottom w:val="single" w:sz="4" w:space="0" w:color="auto"/>
              <w:right w:val="single" w:sz="4" w:space="0" w:color="auto"/>
            </w:tcBorders>
            <w:vAlign w:val="center"/>
            <w:hideMark/>
          </w:tcPr>
          <w:p w14:paraId="197C8EEF"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Pekerjaan Umum dan Penataan Ruang (Bidang Bina Marga)</w:t>
            </w:r>
          </w:p>
        </w:tc>
        <w:tc>
          <w:tcPr>
            <w:tcW w:w="3689" w:type="dxa"/>
            <w:tcBorders>
              <w:top w:val="nil"/>
              <w:left w:val="nil"/>
              <w:bottom w:val="single" w:sz="4" w:space="0" w:color="auto"/>
              <w:right w:val="single" w:sz="4" w:space="0" w:color="auto"/>
            </w:tcBorders>
            <w:vAlign w:val="center"/>
            <w:hideMark/>
          </w:tcPr>
          <w:p w14:paraId="5A8413EE"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9.1 Paket 9: Pal IV - Lenangguar - Batu Rotok</w:t>
            </w:r>
          </w:p>
        </w:tc>
        <w:tc>
          <w:tcPr>
            <w:tcW w:w="2010" w:type="dxa"/>
            <w:tcBorders>
              <w:top w:val="nil"/>
              <w:left w:val="nil"/>
              <w:bottom w:val="single" w:sz="4" w:space="0" w:color="auto"/>
              <w:right w:val="single" w:sz="4" w:space="0" w:color="auto"/>
            </w:tcBorders>
            <w:vAlign w:val="center"/>
            <w:hideMark/>
          </w:tcPr>
          <w:p w14:paraId="17FD78A4"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28.30</w:t>
            </w:r>
          </w:p>
        </w:tc>
        <w:tc>
          <w:tcPr>
            <w:tcW w:w="1085" w:type="dxa"/>
            <w:vMerge w:val="restart"/>
            <w:tcBorders>
              <w:top w:val="nil"/>
              <w:left w:val="single" w:sz="4" w:space="0" w:color="auto"/>
              <w:bottom w:val="single" w:sz="4" w:space="0" w:color="auto"/>
              <w:right w:val="single" w:sz="4" w:space="0" w:color="auto"/>
            </w:tcBorders>
            <w:vAlign w:val="center"/>
            <w:hideMark/>
          </w:tcPr>
          <w:p w14:paraId="7209E39F"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25.75</w:t>
            </w:r>
          </w:p>
        </w:tc>
      </w:tr>
      <w:tr w:rsidR="00615F13" w:rsidRPr="00E619C8" w14:paraId="58164FA8" w14:textId="77777777" w:rsidTr="00000841">
        <w:trPr>
          <w:trHeight w:val="552"/>
        </w:trPr>
        <w:tc>
          <w:tcPr>
            <w:tcW w:w="2211" w:type="dxa"/>
            <w:tcBorders>
              <w:top w:val="nil"/>
              <w:left w:val="single" w:sz="4" w:space="0" w:color="auto"/>
              <w:bottom w:val="nil"/>
              <w:right w:val="single" w:sz="4" w:space="0" w:color="auto"/>
            </w:tcBorders>
            <w:vAlign w:val="center"/>
            <w:hideMark/>
          </w:tcPr>
          <w:p w14:paraId="217B4046"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Lingkungan Hidup dan Kehutanan</w:t>
            </w:r>
          </w:p>
        </w:tc>
        <w:tc>
          <w:tcPr>
            <w:tcW w:w="3689" w:type="dxa"/>
            <w:tcBorders>
              <w:top w:val="nil"/>
              <w:left w:val="nil"/>
              <w:bottom w:val="nil"/>
              <w:right w:val="single" w:sz="4" w:space="0" w:color="auto"/>
            </w:tcBorders>
            <w:vAlign w:val="center"/>
            <w:hideMark/>
          </w:tcPr>
          <w:p w14:paraId="105D831E"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7.1 Pengadaan Gedung Kantor BKPH Brang Rea Puncak Ngengas</w:t>
            </w:r>
          </w:p>
        </w:tc>
        <w:tc>
          <w:tcPr>
            <w:tcW w:w="2010" w:type="dxa"/>
            <w:tcBorders>
              <w:top w:val="nil"/>
              <w:left w:val="nil"/>
              <w:bottom w:val="nil"/>
              <w:right w:val="single" w:sz="4" w:space="0" w:color="auto"/>
            </w:tcBorders>
            <w:vAlign w:val="center"/>
            <w:hideMark/>
          </w:tcPr>
          <w:p w14:paraId="6E7BD207"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27.10</w:t>
            </w:r>
          </w:p>
        </w:tc>
        <w:tc>
          <w:tcPr>
            <w:tcW w:w="1085" w:type="dxa"/>
            <w:vMerge/>
            <w:tcBorders>
              <w:top w:val="nil"/>
              <w:left w:val="single" w:sz="4" w:space="0" w:color="auto"/>
              <w:bottom w:val="single" w:sz="4" w:space="0" w:color="auto"/>
              <w:right w:val="single" w:sz="4" w:space="0" w:color="auto"/>
            </w:tcBorders>
            <w:vAlign w:val="center"/>
            <w:hideMark/>
          </w:tcPr>
          <w:p w14:paraId="1F353A9D" w14:textId="77777777" w:rsidR="00615F13" w:rsidRPr="00E619C8" w:rsidRDefault="00615F13" w:rsidP="00000841">
            <w:pPr>
              <w:rPr>
                <w:rFonts w:ascii="Arial" w:hAnsi="Arial" w:cs="Arial"/>
                <w:color w:val="000000"/>
                <w:sz w:val="22"/>
                <w:szCs w:val="22"/>
              </w:rPr>
            </w:pPr>
          </w:p>
        </w:tc>
      </w:tr>
      <w:tr w:rsidR="00615F13" w:rsidRPr="00E619C8" w14:paraId="5D48623E" w14:textId="77777777" w:rsidTr="00000841">
        <w:trPr>
          <w:trHeight w:val="864"/>
        </w:trPr>
        <w:tc>
          <w:tcPr>
            <w:tcW w:w="2211" w:type="dxa"/>
            <w:tcBorders>
              <w:top w:val="single" w:sz="4" w:space="0" w:color="auto"/>
              <w:left w:val="single" w:sz="4" w:space="0" w:color="auto"/>
              <w:bottom w:val="single" w:sz="4" w:space="0" w:color="auto"/>
              <w:right w:val="single" w:sz="4" w:space="0" w:color="auto"/>
            </w:tcBorders>
            <w:vAlign w:val="center"/>
            <w:hideMark/>
          </w:tcPr>
          <w:p w14:paraId="6AFAC9D4"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Pemuda dan Olahraga</w:t>
            </w:r>
          </w:p>
        </w:tc>
        <w:tc>
          <w:tcPr>
            <w:tcW w:w="3689" w:type="dxa"/>
            <w:tcBorders>
              <w:top w:val="single" w:sz="4" w:space="0" w:color="auto"/>
              <w:left w:val="nil"/>
              <w:bottom w:val="single" w:sz="4" w:space="0" w:color="auto"/>
              <w:right w:val="single" w:sz="4" w:space="0" w:color="auto"/>
            </w:tcBorders>
            <w:vAlign w:val="center"/>
            <w:hideMark/>
          </w:tcPr>
          <w:p w14:paraId="321DB623"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4.2 Pembangunan Lapangan Futsal (Desa Bengkel)</w:t>
            </w:r>
          </w:p>
        </w:tc>
        <w:tc>
          <w:tcPr>
            <w:tcW w:w="2010" w:type="dxa"/>
            <w:tcBorders>
              <w:top w:val="single" w:sz="4" w:space="0" w:color="auto"/>
              <w:left w:val="nil"/>
              <w:bottom w:val="single" w:sz="4" w:space="0" w:color="auto"/>
              <w:right w:val="single" w:sz="4" w:space="0" w:color="auto"/>
            </w:tcBorders>
            <w:vAlign w:val="center"/>
            <w:hideMark/>
          </w:tcPr>
          <w:p w14:paraId="38E13AC0"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26.80</w:t>
            </w:r>
          </w:p>
        </w:tc>
        <w:tc>
          <w:tcPr>
            <w:tcW w:w="1085" w:type="dxa"/>
            <w:vMerge/>
            <w:tcBorders>
              <w:top w:val="nil"/>
              <w:left w:val="single" w:sz="4" w:space="0" w:color="auto"/>
              <w:bottom w:val="single" w:sz="4" w:space="0" w:color="auto"/>
              <w:right w:val="single" w:sz="4" w:space="0" w:color="auto"/>
            </w:tcBorders>
            <w:vAlign w:val="center"/>
            <w:hideMark/>
          </w:tcPr>
          <w:p w14:paraId="3397B004" w14:textId="77777777" w:rsidR="00615F13" w:rsidRPr="00E619C8" w:rsidRDefault="00615F13" w:rsidP="00000841">
            <w:pPr>
              <w:rPr>
                <w:rFonts w:ascii="Arial" w:hAnsi="Arial" w:cs="Arial"/>
                <w:color w:val="000000"/>
                <w:sz w:val="22"/>
                <w:szCs w:val="22"/>
              </w:rPr>
            </w:pPr>
          </w:p>
        </w:tc>
      </w:tr>
      <w:tr w:rsidR="00615F13" w:rsidRPr="00E619C8" w14:paraId="74AD4CBF" w14:textId="77777777" w:rsidTr="00000841">
        <w:trPr>
          <w:trHeight w:val="864"/>
        </w:trPr>
        <w:tc>
          <w:tcPr>
            <w:tcW w:w="2211" w:type="dxa"/>
            <w:tcBorders>
              <w:top w:val="nil"/>
              <w:left w:val="single" w:sz="4" w:space="0" w:color="auto"/>
              <w:bottom w:val="single" w:sz="4" w:space="0" w:color="auto"/>
              <w:right w:val="single" w:sz="4" w:space="0" w:color="auto"/>
            </w:tcBorders>
            <w:vAlign w:val="center"/>
            <w:hideMark/>
          </w:tcPr>
          <w:p w14:paraId="3CEDC7BB"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Perindustrian</w:t>
            </w:r>
          </w:p>
        </w:tc>
        <w:tc>
          <w:tcPr>
            <w:tcW w:w="3689" w:type="dxa"/>
            <w:tcBorders>
              <w:top w:val="nil"/>
              <w:left w:val="nil"/>
              <w:bottom w:val="single" w:sz="4" w:space="0" w:color="auto"/>
              <w:right w:val="single" w:sz="4" w:space="0" w:color="auto"/>
            </w:tcBorders>
            <w:vAlign w:val="center"/>
            <w:hideMark/>
          </w:tcPr>
          <w:p w14:paraId="0914174C"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10.1 Revitalisasi Rumah Produksi Balai Kemasan</w:t>
            </w:r>
          </w:p>
        </w:tc>
        <w:tc>
          <w:tcPr>
            <w:tcW w:w="2010" w:type="dxa"/>
            <w:tcBorders>
              <w:top w:val="nil"/>
              <w:left w:val="nil"/>
              <w:bottom w:val="single" w:sz="4" w:space="0" w:color="auto"/>
              <w:right w:val="single" w:sz="4" w:space="0" w:color="auto"/>
            </w:tcBorders>
            <w:vAlign w:val="center"/>
            <w:hideMark/>
          </w:tcPr>
          <w:p w14:paraId="62CE6139"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25.60</w:t>
            </w:r>
          </w:p>
        </w:tc>
        <w:tc>
          <w:tcPr>
            <w:tcW w:w="1085" w:type="dxa"/>
            <w:vMerge/>
            <w:tcBorders>
              <w:top w:val="nil"/>
              <w:left w:val="single" w:sz="4" w:space="0" w:color="auto"/>
              <w:bottom w:val="single" w:sz="4" w:space="0" w:color="auto"/>
              <w:right w:val="single" w:sz="4" w:space="0" w:color="auto"/>
            </w:tcBorders>
            <w:vAlign w:val="center"/>
            <w:hideMark/>
          </w:tcPr>
          <w:p w14:paraId="2274C4C4" w14:textId="77777777" w:rsidR="00615F13" w:rsidRPr="00E619C8" w:rsidRDefault="00615F13" w:rsidP="00000841">
            <w:pPr>
              <w:rPr>
                <w:rFonts w:ascii="Arial" w:hAnsi="Arial" w:cs="Arial"/>
                <w:color w:val="000000"/>
                <w:sz w:val="22"/>
                <w:szCs w:val="22"/>
              </w:rPr>
            </w:pPr>
          </w:p>
        </w:tc>
      </w:tr>
      <w:tr w:rsidR="00615F13" w:rsidRPr="00E619C8" w14:paraId="4599A7CA" w14:textId="77777777" w:rsidTr="00000841">
        <w:trPr>
          <w:trHeight w:val="1056"/>
        </w:trPr>
        <w:tc>
          <w:tcPr>
            <w:tcW w:w="2211" w:type="dxa"/>
            <w:tcBorders>
              <w:top w:val="nil"/>
              <w:left w:val="single" w:sz="4" w:space="0" w:color="auto"/>
              <w:bottom w:val="single" w:sz="4" w:space="0" w:color="auto"/>
              <w:right w:val="single" w:sz="4" w:space="0" w:color="auto"/>
            </w:tcBorders>
            <w:vAlign w:val="center"/>
            <w:hideMark/>
          </w:tcPr>
          <w:p w14:paraId="37662869"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Pekerjaan Umum dan Penataan Ruang (Bidang Cipta Karya)</w:t>
            </w:r>
          </w:p>
        </w:tc>
        <w:tc>
          <w:tcPr>
            <w:tcW w:w="3689" w:type="dxa"/>
            <w:tcBorders>
              <w:top w:val="nil"/>
              <w:left w:val="nil"/>
              <w:bottom w:val="single" w:sz="4" w:space="0" w:color="auto"/>
              <w:right w:val="single" w:sz="4" w:space="0" w:color="auto"/>
            </w:tcBorders>
            <w:vAlign w:val="center"/>
            <w:hideMark/>
          </w:tcPr>
          <w:p w14:paraId="652902B5"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3.1 Renovasi Gedung Kantor Gubernur Provinsi NTB</w:t>
            </w:r>
          </w:p>
        </w:tc>
        <w:tc>
          <w:tcPr>
            <w:tcW w:w="2010" w:type="dxa"/>
            <w:tcBorders>
              <w:top w:val="nil"/>
              <w:left w:val="nil"/>
              <w:bottom w:val="single" w:sz="4" w:space="0" w:color="auto"/>
              <w:right w:val="single" w:sz="4" w:space="0" w:color="auto"/>
            </w:tcBorders>
            <w:vAlign w:val="center"/>
            <w:hideMark/>
          </w:tcPr>
          <w:p w14:paraId="7159CD4A"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25.30</w:t>
            </w:r>
          </w:p>
        </w:tc>
        <w:tc>
          <w:tcPr>
            <w:tcW w:w="1085" w:type="dxa"/>
            <w:vMerge/>
            <w:tcBorders>
              <w:top w:val="nil"/>
              <w:left w:val="single" w:sz="4" w:space="0" w:color="auto"/>
              <w:bottom w:val="single" w:sz="4" w:space="0" w:color="auto"/>
              <w:right w:val="single" w:sz="4" w:space="0" w:color="auto"/>
            </w:tcBorders>
            <w:vAlign w:val="center"/>
            <w:hideMark/>
          </w:tcPr>
          <w:p w14:paraId="1D259389" w14:textId="77777777" w:rsidR="00615F13" w:rsidRPr="00E619C8" w:rsidRDefault="00615F13" w:rsidP="00000841">
            <w:pPr>
              <w:rPr>
                <w:rFonts w:ascii="Arial" w:hAnsi="Arial" w:cs="Arial"/>
                <w:color w:val="000000"/>
                <w:sz w:val="22"/>
                <w:szCs w:val="22"/>
              </w:rPr>
            </w:pPr>
          </w:p>
        </w:tc>
      </w:tr>
      <w:tr w:rsidR="00615F13" w:rsidRPr="00E619C8" w14:paraId="531EC468" w14:textId="77777777" w:rsidTr="00000841">
        <w:trPr>
          <w:trHeight w:val="1104"/>
        </w:trPr>
        <w:tc>
          <w:tcPr>
            <w:tcW w:w="2211" w:type="dxa"/>
            <w:tcBorders>
              <w:top w:val="nil"/>
              <w:left w:val="single" w:sz="4" w:space="0" w:color="auto"/>
              <w:bottom w:val="single" w:sz="4" w:space="0" w:color="auto"/>
              <w:right w:val="single" w:sz="4" w:space="0" w:color="auto"/>
            </w:tcBorders>
            <w:vAlign w:val="center"/>
            <w:hideMark/>
          </w:tcPr>
          <w:p w14:paraId="32C6D2FD"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Pekerjaan Umum dan Penataan Ruang (Bidang Cipta Karya)</w:t>
            </w:r>
          </w:p>
        </w:tc>
        <w:tc>
          <w:tcPr>
            <w:tcW w:w="3689" w:type="dxa"/>
            <w:tcBorders>
              <w:top w:val="nil"/>
              <w:left w:val="nil"/>
              <w:bottom w:val="single" w:sz="4" w:space="0" w:color="auto"/>
              <w:right w:val="single" w:sz="4" w:space="0" w:color="auto"/>
            </w:tcBorders>
            <w:vAlign w:val="center"/>
            <w:hideMark/>
          </w:tcPr>
          <w:p w14:paraId="10990F40"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3.2 Pembangunan Mako Brimob Kompi Lobar</w:t>
            </w:r>
          </w:p>
        </w:tc>
        <w:tc>
          <w:tcPr>
            <w:tcW w:w="2010" w:type="dxa"/>
            <w:tcBorders>
              <w:top w:val="nil"/>
              <w:left w:val="nil"/>
              <w:bottom w:val="single" w:sz="4" w:space="0" w:color="auto"/>
              <w:right w:val="single" w:sz="4" w:space="0" w:color="auto"/>
            </w:tcBorders>
            <w:vAlign w:val="center"/>
            <w:hideMark/>
          </w:tcPr>
          <w:p w14:paraId="5AEACDD6"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25.30</w:t>
            </w:r>
          </w:p>
        </w:tc>
        <w:tc>
          <w:tcPr>
            <w:tcW w:w="1085" w:type="dxa"/>
            <w:vMerge/>
            <w:tcBorders>
              <w:top w:val="nil"/>
              <w:left w:val="single" w:sz="4" w:space="0" w:color="auto"/>
              <w:bottom w:val="single" w:sz="4" w:space="0" w:color="auto"/>
              <w:right w:val="single" w:sz="4" w:space="0" w:color="auto"/>
            </w:tcBorders>
            <w:vAlign w:val="center"/>
            <w:hideMark/>
          </w:tcPr>
          <w:p w14:paraId="7CE75E6F" w14:textId="77777777" w:rsidR="00615F13" w:rsidRPr="00E619C8" w:rsidRDefault="00615F13" w:rsidP="00000841">
            <w:pPr>
              <w:rPr>
                <w:rFonts w:ascii="Arial" w:hAnsi="Arial" w:cs="Arial"/>
                <w:color w:val="000000"/>
                <w:sz w:val="22"/>
                <w:szCs w:val="22"/>
              </w:rPr>
            </w:pPr>
          </w:p>
        </w:tc>
      </w:tr>
      <w:tr w:rsidR="00615F13" w:rsidRPr="00E619C8" w14:paraId="70E85E21" w14:textId="77777777" w:rsidTr="00000841">
        <w:trPr>
          <w:trHeight w:val="864"/>
        </w:trPr>
        <w:tc>
          <w:tcPr>
            <w:tcW w:w="2211" w:type="dxa"/>
            <w:tcBorders>
              <w:top w:val="nil"/>
              <w:left w:val="single" w:sz="4" w:space="0" w:color="auto"/>
              <w:bottom w:val="single" w:sz="4" w:space="0" w:color="auto"/>
              <w:right w:val="single" w:sz="4" w:space="0" w:color="auto"/>
            </w:tcBorders>
            <w:vAlign w:val="center"/>
            <w:hideMark/>
          </w:tcPr>
          <w:p w14:paraId="5E619BD4"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Perindustrian</w:t>
            </w:r>
          </w:p>
        </w:tc>
        <w:tc>
          <w:tcPr>
            <w:tcW w:w="3689" w:type="dxa"/>
            <w:tcBorders>
              <w:top w:val="nil"/>
              <w:left w:val="nil"/>
              <w:bottom w:val="single" w:sz="4" w:space="0" w:color="auto"/>
              <w:right w:val="single" w:sz="4" w:space="0" w:color="auto"/>
            </w:tcBorders>
            <w:vAlign w:val="center"/>
            <w:hideMark/>
          </w:tcPr>
          <w:p w14:paraId="61A3E9E2"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10.2 Pembangunan Ruang Produksi (Gudang) Tembakau</w:t>
            </w:r>
          </w:p>
        </w:tc>
        <w:tc>
          <w:tcPr>
            <w:tcW w:w="2010" w:type="dxa"/>
            <w:tcBorders>
              <w:top w:val="nil"/>
              <w:left w:val="nil"/>
              <w:bottom w:val="single" w:sz="4" w:space="0" w:color="auto"/>
              <w:right w:val="single" w:sz="4" w:space="0" w:color="auto"/>
            </w:tcBorders>
            <w:vAlign w:val="center"/>
            <w:hideMark/>
          </w:tcPr>
          <w:p w14:paraId="68506315"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24.10</w:t>
            </w:r>
          </w:p>
        </w:tc>
        <w:tc>
          <w:tcPr>
            <w:tcW w:w="1085" w:type="dxa"/>
            <w:vMerge/>
            <w:tcBorders>
              <w:top w:val="nil"/>
              <w:left w:val="single" w:sz="4" w:space="0" w:color="auto"/>
              <w:bottom w:val="single" w:sz="4" w:space="0" w:color="auto"/>
              <w:right w:val="single" w:sz="4" w:space="0" w:color="auto"/>
            </w:tcBorders>
            <w:vAlign w:val="center"/>
            <w:hideMark/>
          </w:tcPr>
          <w:p w14:paraId="6EF6109E" w14:textId="77777777" w:rsidR="00615F13" w:rsidRPr="00E619C8" w:rsidRDefault="00615F13" w:rsidP="00000841">
            <w:pPr>
              <w:rPr>
                <w:rFonts w:ascii="Arial" w:hAnsi="Arial" w:cs="Arial"/>
                <w:color w:val="000000"/>
                <w:sz w:val="22"/>
                <w:szCs w:val="22"/>
              </w:rPr>
            </w:pPr>
          </w:p>
        </w:tc>
      </w:tr>
      <w:tr w:rsidR="00615F13" w:rsidRPr="00E619C8" w14:paraId="5BA8B784" w14:textId="77777777" w:rsidTr="00000841">
        <w:trPr>
          <w:trHeight w:val="1152"/>
        </w:trPr>
        <w:tc>
          <w:tcPr>
            <w:tcW w:w="2211" w:type="dxa"/>
            <w:tcBorders>
              <w:top w:val="nil"/>
              <w:left w:val="single" w:sz="4" w:space="0" w:color="auto"/>
              <w:bottom w:val="single" w:sz="4" w:space="0" w:color="auto"/>
              <w:right w:val="single" w:sz="4" w:space="0" w:color="auto"/>
            </w:tcBorders>
            <w:vAlign w:val="center"/>
            <w:hideMark/>
          </w:tcPr>
          <w:p w14:paraId="1D700503"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Dinas Pekerjaan Umum dan Penataan Ruang (Bidang Cipta Karya)</w:t>
            </w:r>
          </w:p>
        </w:tc>
        <w:tc>
          <w:tcPr>
            <w:tcW w:w="3689" w:type="dxa"/>
            <w:tcBorders>
              <w:top w:val="nil"/>
              <w:left w:val="nil"/>
              <w:bottom w:val="single" w:sz="4" w:space="0" w:color="auto"/>
              <w:right w:val="single" w:sz="4" w:space="0" w:color="auto"/>
            </w:tcBorders>
            <w:vAlign w:val="center"/>
            <w:hideMark/>
          </w:tcPr>
          <w:p w14:paraId="6D7D02A7" w14:textId="77777777" w:rsidR="00615F13" w:rsidRPr="00E619C8" w:rsidRDefault="00615F13" w:rsidP="00000841">
            <w:pPr>
              <w:rPr>
                <w:rFonts w:ascii="Arial" w:hAnsi="Arial" w:cs="Arial"/>
                <w:color w:val="000000"/>
                <w:sz w:val="22"/>
                <w:szCs w:val="22"/>
              </w:rPr>
            </w:pPr>
            <w:r w:rsidRPr="00E619C8">
              <w:rPr>
                <w:rFonts w:ascii="Arial" w:hAnsi="Arial" w:cs="Arial"/>
                <w:color w:val="000000"/>
                <w:sz w:val="22"/>
                <w:szCs w:val="22"/>
              </w:rPr>
              <w:t>3.3 Rehabilitasi Masjid Raya At-Taqwa</w:t>
            </w:r>
          </w:p>
        </w:tc>
        <w:tc>
          <w:tcPr>
            <w:tcW w:w="2010" w:type="dxa"/>
            <w:tcBorders>
              <w:top w:val="nil"/>
              <w:left w:val="nil"/>
              <w:bottom w:val="single" w:sz="4" w:space="0" w:color="auto"/>
              <w:right w:val="single" w:sz="4" w:space="0" w:color="auto"/>
            </w:tcBorders>
            <w:vAlign w:val="center"/>
            <w:hideMark/>
          </w:tcPr>
          <w:p w14:paraId="6FDBB434" w14:textId="77777777" w:rsidR="00615F13" w:rsidRPr="00E619C8" w:rsidRDefault="00615F13" w:rsidP="00000841">
            <w:pPr>
              <w:jc w:val="center"/>
              <w:rPr>
                <w:rFonts w:ascii="Arial" w:hAnsi="Arial" w:cs="Arial"/>
                <w:color w:val="000000"/>
                <w:sz w:val="22"/>
                <w:szCs w:val="22"/>
              </w:rPr>
            </w:pPr>
            <w:r w:rsidRPr="00E619C8">
              <w:rPr>
                <w:rFonts w:ascii="Arial" w:hAnsi="Arial" w:cs="Arial"/>
                <w:color w:val="000000"/>
                <w:sz w:val="22"/>
                <w:szCs w:val="22"/>
              </w:rPr>
              <w:t>23.5</w:t>
            </w:r>
          </w:p>
        </w:tc>
        <w:tc>
          <w:tcPr>
            <w:tcW w:w="1085" w:type="dxa"/>
            <w:vMerge/>
            <w:tcBorders>
              <w:top w:val="nil"/>
              <w:left w:val="single" w:sz="4" w:space="0" w:color="auto"/>
              <w:bottom w:val="single" w:sz="4" w:space="0" w:color="auto"/>
              <w:right w:val="single" w:sz="4" w:space="0" w:color="auto"/>
            </w:tcBorders>
            <w:vAlign w:val="center"/>
            <w:hideMark/>
          </w:tcPr>
          <w:p w14:paraId="5A9D328A" w14:textId="77777777" w:rsidR="00615F13" w:rsidRPr="00E619C8" w:rsidRDefault="00615F13" w:rsidP="00000841">
            <w:pPr>
              <w:rPr>
                <w:rFonts w:ascii="Arial" w:hAnsi="Arial" w:cs="Arial"/>
                <w:color w:val="000000"/>
                <w:sz w:val="22"/>
                <w:szCs w:val="22"/>
              </w:rPr>
            </w:pPr>
          </w:p>
        </w:tc>
      </w:tr>
    </w:tbl>
    <w:p w14:paraId="16270E22" w14:textId="14BC74CD" w:rsidR="002033A5" w:rsidRPr="00E619C8" w:rsidRDefault="00E113EC">
      <w:pPr>
        <w:spacing w:before="240" w:after="240" w:line="300" w:lineRule="auto"/>
        <w:jc w:val="center"/>
        <w:rPr>
          <w:rFonts w:ascii="Arial" w:eastAsia="Arial" w:hAnsi="Arial" w:cs="Arial"/>
          <w:sz w:val="20"/>
          <w:szCs w:val="20"/>
        </w:rPr>
      </w:pPr>
      <w:r w:rsidRPr="00E619C8">
        <w:rPr>
          <w:rFonts w:ascii="Arial" w:eastAsia="Arial" w:hAnsi="Arial" w:cs="Arial"/>
          <w:sz w:val="20"/>
          <w:szCs w:val="20"/>
        </w:rPr>
        <w:t xml:space="preserve">Table </w:t>
      </w:r>
      <w:r w:rsidR="00DD0F1A" w:rsidRPr="00E619C8">
        <w:rPr>
          <w:rFonts w:ascii="Arial" w:eastAsia="Arial" w:hAnsi="Arial" w:cs="Arial"/>
          <w:sz w:val="20"/>
          <w:szCs w:val="20"/>
        </w:rPr>
        <w:t>20</w:t>
      </w:r>
      <w:r w:rsidRPr="00E619C8">
        <w:rPr>
          <w:rFonts w:ascii="Arial" w:eastAsia="Arial" w:hAnsi="Arial" w:cs="Arial"/>
          <w:sz w:val="20"/>
          <w:szCs w:val="20"/>
        </w:rPr>
        <w:t>. Project ITI Scores and Quartile Average by Procuring Entity</w:t>
      </w:r>
    </w:p>
    <w:p w14:paraId="26AF803D" w14:textId="4D1688B6" w:rsidR="00B55D10" w:rsidRPr="00E619C8" w:rsidRDefault="00615F13">
      <w:pPr>
        <w:spacing w:before="240" w:after="240" w:line="300" w:lineRule="auto"/>
        <w:jc w:val="center"/>
        <w:rPr>
          <w:rFonts w:ascii="Arial" w:eastAsia="Arial" w:hAnsi="Arial" w:cs="Arial"/>
          <w:sz w:val="20"/>
          <w:szCs w:val="20"/>
        </w:rPr>
      </w:pPr>
      <w:r w:rsidRPr="00E619C8">
        <w:rPr>
          <w:noProof/>
        </w:rPr>
        <w:drawing>
          <wp:inline distT="0" distB="0" distL="0" distR="0" wp14:anchorId="748787BB" wp14:editId="0E6EF411">
            <wp:extent cx="5076825" cy="2932430"/>
            <wp:effectExtent l="0" t="0" r="9525" b="1270"/>
            <wp:docPr id="1181296998" name="Chart 1">
              <a:extLst xmlns:a="http://schemas.openxmlformats.org/drawingml/2006/main">
                <a:ext uri="{FF2B5EF4-FFF2-40B4-BE49-F238E27FC236}">
                  <a16:creationId xmlns:a16="http://schemas.microsoft.com/office/drawing/2014/main" id="{13AAF2C4-EABA-4CE2-AB08-B649D59498AF}"/>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043F982" w14:textId="4B9AE2F1" w:rsidR="002033A5" w:rsidRPr="00E619C8" w:rsidRDefault="00E113EC">
      <w:pPr>
        <w:spacing w:before="240" w:after="240" w:line="300" w:lineRule="auto"/>
        <w:jc w:val="center"/>
        <w:rPr>
          <w:rFonts w:ascii="Arial" w:eastAsia="Arial" w:hAnsi="Arial" w:cs="Arial"/>
          <w:sz w:val="20"/>
          <w:szCs w:val="20"/>
        </w:rPr>
      </w:pPr>
      <w:r w:rsidRPr="00E619C8">
        <w:rPr>
          <w:rFonts w:ascii="Arial" w:eastAsia="Arial" w:hAnsi="Arial" w:cs="Arial"/>
          <w:sz w:val="20"/>
          <w:szCs w:val="20"/>
        </w:rPr>
        <w:t xml:space="preserve">Figure </w:t>
      </w:r>
      <w:r w:rsidR="00702DCB" w:rsidRPr="00E619C8">
        <w:rPr>
          <w:rFonts w:ascii="Arial" w:eastAsia="Arial" w:hAnsi="Arial" w:cs="Arial"/>
          <w:sz w:val="20"/>
          <w:szCs w:val="20"/>
        </w:rPr>
        <w:t>1</w:t>
      </w:r>
      <w:r w:rsidR="00EB65C4" w:rsidRPr="00E619C8">
        <w:rPr>
          <w:rFonts w:ascii="Arial" w:eastAsia="Arial" w:hAnsi="Arial" w:cs="Arial"/>
          <w:sz w:val="20"/>
          <w:szCs w:val="20"/>
        </w:rPr>
        <w:t>2</w:t>
      </w:r>
      <w:r w:rsidRPr="00E619C8">
        <w:rPr>
          <w:rFonts w:ascii="Arial" w:eastAsia="Arial" w:hAnsi="Arial" w:cs="Arial"/>
          <w:sz w:val="20"/>
          <w:szCs w:val="20"/>
        </w:rPr>
        <w:t>. Average ITI Project Scores by Quartile</w:t>
      </w:r>
    </w:p>
    <w:p w14:paraId="2395548D" w14:textId="77777777" w:rsidR="00615F13" w:rsidRPr="00E619C8" w:rsidRDefault="00E113EC" w:rsidP="00615F13">
      <w:pPr>
        <w:spacing w:before="240" w:after="240" w:line="300" w:lineRule="auto"/>
        <w:jc w:val="both"/>
        <w:rPr>
          <w:rFonts w:ascii="Arial" w:eastAsia="Arial" w:hAnsi="Arial" w:cs="Arial"/>
          <w:sz w:val="22"/>
          <w:szCs w:val="22"/>
        </w:rPr>
      </w:pPr>
      <w:r w:rsidRPr="00E619C8">
        <w:rPr>
          <w:rFonts w:ascii="Arial" w:eastAsia="Arial" w:hAnsi="Arial" w:cs="Arial"/>
          <w:sz w:val="22"/>
          <w:szCs w:val="22"/>
        </w:rPr>
        <w:br/>
      </w:r>
      <w:r w:rsidR="00615F13" w:rsidRPr="00E619C8">
        <w:rPr>
          <w:rFonts w:ascii="Arial" w:eastAsia="Arial" w:hAnsi="Arial" w:cs="Arial"/>
          <w:sz w:val="22"/>
          <w:szCs w:val="22"/>
        </w:rPr>
        <w:t>The quartile analysis provides an additional view of how project transparency performance is distributed across the assessed infrastructure projects. The results show a gradual decline in average scores from Quartile 1 (34.08) to Quartile 4 (25.75), indicating a clear gap between relatively higher- and lower-performing projects within the sample. However, it is important to emphasise that all quartiles remain well below the 50-point benchmark, suggesting that overall transparency performance is consistently low across the entire distribution.</w:t>
      </w:r>
    </w:p>
    <w:p w14:paraId="32D9728D" w14:textId="77777777" w:rsidR="00615F13" w:rsidRPr="00E619C8" w:rsidRDefault="00615F13" w:rsidP="00615F13">
      <w:pPr>
        <w:spacing w:before="240" w:after="240" w:line="300" w:lineRule="auto"/>
        <w:jc w:val="both"/>
        <w:rPr>
          <w:rFonts w:ascii="Arial" w:eastAsia="Arial" w:hAnsi="Arial" w:cs="Arial"/>
          <w:sz w:val="22"/>
          <w:szCs w:val="22"/>
        </w:rPr>
      </w:pPr>
      <w:r w:rsidRPr="00E619C8">
        <w:rPr>
          <w:rFonts w:ascii="Arial" w:eastAsia="Arial" w:hAnsi="Arial" w:cs="Arial"/>
          <w:sz w:val="22"/>
          <w:szCs w:val="22"/>
        </w:rPr>
        <w:t>At the same time, the differences between the middle quartiles are relatively small (29.51 in Quartile 2 versus 28.88 in Quartile 3), indicating that many projects cluster around a similar mid-range level of disclosure. The overall gap between the highest and lowest quartiles is 8.33 points, reflecting a moderate level of dispersion at the project level. This pattern suggests that while a subset of projects performs relatively better, a large proportion of projects follow comparable disclosure practices, potentially due to shared institutional routines or similar constraints in information management and publication.</w:t>
      </w:r>
    </w:p>
    <w:p w14:paraId="1FCE8710" w14:textId="5011C343" w:rsidR="002033A5" w:rsidRPr="00E619C8" w:rsidRDefault="00615F13">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These findings imply that improving overall project transparency requires addressing common weaknesses observed across mid- and </w:t>
      </w:r>
      <w:r w:rsidR="00874B85">
        <w:rPr>
          <w:rFonts w:ascii="Arial" w:eastAsia="Arial" w:hAnsi="Arial" w:cs="Arial"/>
          <w:sz w:val="22"/>
          <w:szCs w:val="22"/>
        </w:rPr>
        <w:t xml:space="preserve">lower-quartile projects, such as </w:t>
      </w:r>
      <w:r w:rsidRPr="00E619C8">
        <w:rPr>
          <w:rFonts w:ascii="Arial" w:eastAsia="Arial" w:hAnsi="Arial" w:cs="Arial"/>
          <w:sz w:val="22"/>
          <w:szCs w:val="22"/>
        </w:rPr>
        <w:t>incomplete or inconsistent publication of key project information. At the same time, projects in the top quartile can serve as practical benchmarks for strengthening disclosure practices and improving transparency performance across the board.</w:t>
      </w:r>
      <w:r w:rsidRPr="00E619C8">
        <w:rPr>
          <w:rFonts w:ascii="Arial" w:eastAsia="Arial" w:hAnsi="Arial" w:cs="Arial"/>
          <w:strike/>
          <w:sz w:val="22"/>
          <w:szCs w:val="22"/>
        </w:rPr>
        <w:t xml:space="preserve"> </w:t>
      </w:r>
    </w:p>
    <w:tbl>
      <w:tblPr>
        <w:tblW w:w="5060" w:type="dxa"/>
        <w:jc w:val="center"/>
        <w:tblLook w:val="04A0" w:firstRow="1" w:lastRow="0" w:firstColumn="1" w:lastColumn="0" w:noHBand="0" w:noVBand="1"/>
      </w:tblPr>
      <w:tblGrid>
        <w:gridCol w:w="1880"/>
        <w:gridCol w:w="1360"/>
        <w:gridCol w:w="1820"/>
      </w:tblGrid>
      <w:tr w:rsidR="00326244" w:rsidRPr="00E619C8" w14:paraId="22EED911" w14:textId="77777777" w:rsidTr="007F3E4C">
        <w:trPr>
          <w:trHeight w:val="576"/>
          <w:tblHeader/>
          <w:jc w:val="center"/>
        </w:trPr>
        <w:tc>
          <w:tcPr>
            <w:tcW w:w="1880" w:type="dxa"/>
            <w:tcBorders>
              <w:top w:val="single" w:sz="4" w:space="0" w:color="auto"/>
              <w:left w:val="single" w:sz="4" w:space="0" w:color="auto"/>
              <w:bottom w:val="single" w:sz="4" w:space="0" w:color="auto"/>
              <w:right w:val="single" w:sz="4" w:space="0" w:color="auto"/>
            </w:tcBorders>
            <w:shd w:val="clear" w:color="auto" w:fill="C00000"/>
            <w:vAlign w:val="center"/>
            <w:hideMark/>
          </w:tcPr>
          <w:p w14:paraId="0DB988CC" w14:textId="77777777" w:rsidR="00326244" w:rsidRPr="00E619C8" w:rsidRDefault="00326244">
            <w:pPr>
              <w:jc w:val="center"/>
              <w:rPr>
                <w:rFonts w:ascii="Arial" w:hAnsi="Arial" w:cs="Arial"/>
                <w:color w:val="FFFFFF"/>
                <w:sz w:val="22"/>
                <w:szCs w:val="22"/>
              </w:rPr>
            </w:pPr>
            <w:r w:rsidRPr="00E619C8">
              <w:rPr>
                <w:rFonts w:ascii="Arial" w:hAnsi="Arial" w:cs="Arial"/>
                <w:color w:val="FFFFFF"/>
                <w:sz w:val="22"/>
                <w:szCs w:val="22"/>
              </w:rPr>
              <w:t>Budget Category</w:t>
            </w:r>
          </w:p>
        </w:tc>
        <w:tc>
          <w:tcPr>
            <w:tcW w:w="1360" w:type="dxa"/>
            <w:tcBorders>
              <w:top w:val="single" w:sz="4" w:space="0" w:color="auto"/>
              <w:left w:val="nil"/>
              <w:bottom w:val="single" w:sz="4" w:space="0" w:color="auto"/>
              <w:right w:val="single" w:sz="4" w:space="0" w:color="auto"/>
            </w:tcBorders>
            <w:shd w:val="clear" w:color="auto" w:fill="C00000"/>
            <w:vAlign w:val="center"/>
            <w:hideMark/>
          </w:tcPr>
          <w:p w14:paraId="21C1C3EA" w14:textId="77777777" w:rsidR="00326244" w:rsidRPr="00E619C8" w:rsidRDefault="00326244">
            <w:pPr>
              <w:jc w:val="center"/>
              <w:rPr>
                <w:rFonts w:ascii="Arial" w:hAnsi="Arial" w:cs="Arial"/>
                <w:color w:val="FFFFFF"/>
                <w:sz w:val="22"/>
                <w:szCs w:val="22"/>
              </w:rPr>
            </w:pPr>
            <w:r w:rsidRPr="00E619C8">
              <w:rPr>
                <w:rFonts w:ascii="Arial" w:hAnsi="Arial" w:cs="Arial"/>
                <w:color w:val="FFFFFF"/>
                <w:sz w:val="22"/>
                <w:szCs w:val="22"/>
              </w:rPr>
              <w:t>Number of Projects</w:t>
            </w:r>
          </w:p>
        </w:tc>
        <w:tc>
          <w:tcPr>
            <w:tcW w:w="1820" w:type="dxa"/>
            <w:tcBorders>
              <w:top w:val="single" w:sz="4" w:space="0" w:color="auto"/>
              <w:left w:val="nil"/>
              <w:bottom w:val="single" w:sz="4" w:space="0" w:color="auto"/>
              <w:right w:val="single" w:sz="4" w:space="0" w:color="auto"/>
            </w:tcBorders>
            <w:shd w:val="clear" w:color="auto" w:fill="C00000"/>
            <w:vAlign w:val="center"/>
            <w:hideMark/>
          </w:tcPr>
          <w:p w14:paraId="2185BEA1" w14:textId="77777777" w:rsidR="00326244" w:rsidRPr="00E619C8" w:rsidRDefault="00326244">
            <w:pPr>
              <w:jc w:val="center"/>
              <w:rPr>
                <w:rFonts w:ascii="Arial" w:hAnsi="Arial" w:cs="Arial"/>
                <w:color w:val="FFFFFF"/>
                <w:sz w:val="22"/>
                <w:szCs w:val="22"/>
              </w:rPr>
            </w:pPr>
            <w:r w:rsidRPr="00E619C8">
              <w:rPr>
                <w:rFonts w:ascii="Arial" w:hAnsi="Arial" w:cs="Arial"/>
                <w:color w:val="FFFFFF"/>
                <w:sz w:val="22"/>
                <w:szCs w:val="22"/>
              </w:rPr>
              <w:t>Avg ITI Score</w:t>
            </w:r>
          </w:p>
        </w:tc>
      </w:tr>
      <w:tr w:rsidR="00326244" w:rsidRPr="00E619C8" w14:paraId="51DC89EC" w14:textId="77777777" w:rsidTr="007F3E4C">
        <w:trPr>
          <w:trHeight w:val="576"/>
          <w:jc w:val="center"/>
        </w:trPr>
        <w:tc>
          <w:tcPr>
            <w:tcW w:w="1880" w:type="dxa"/>
            <w:tcBorders>
              <w:top w:val="nil"/>
              <w:left w:val="single" w:sz="4" w:space="0" w:color="auto"/>
              <w:bottom w:val="single" w:sz="4" w:space="0" w:color="auto"/>
              <w:right w:val="single" w:sz="4" w:space="0" w:color="auto"/>
            </w:tcBorders>
            <w:vAlign w:val="center"/>
            <w:hideMark/>
          </w:tcPr>
          <w:p w14:paraId="400A2BF4" w14:textId="77777777" w:rsidR="00326244" w:rsidRPr="00E619C8" w:rsidRDefault="00326244">
            <w:pPr>
              <w:jc w:val="center"/>
              <w:rPr>
                <w:rFonts w:ascii="Arial" w:hAnsi="Arial" w:cs="Arial"/>
                <w:color w:val="000000"/>
                <w:sz w:val="22"/>
                <w:szCs w:val="22"/>
              </w:rPr>
            </w:pPr>
            <w:r w:rsidRPr="00E619C8">
              <w:rPr>
                <w:rFonts w:ascii="Arial" w:hAnsi="Arial" w:cs="Arial"/>
                <w:color w:val="000000"/>
                <w:sz w:val="22"/>
                <w:szCs w:val="22"/>
              </w:rPr>
              <w:t>High Budget</w:t>
            </w:r>
          </w:p>
        </w:tc>
        <w:tc>
          <w:tcPr>
            <w:tcW w:w="1360" w:type="dxa"/>
            <w:tcBorders>
              <w:top w:val="nil"/>
              <w:left w:val="nil"/>
              <w:bottom w:val="single" w:sz="4" w:space="0" w:color="auto"/>
              <w:right w:val="single" w:sz="4" w:space="0" w:color="auto"/>
            </w:tcBorders>
            <w:vAlign w:val="center"/>
            <w:hideMark/>
          </w:tcPr>
          <w:p w14:paraId="6145141E" w14:textId="01BD6975" w:rsidR="00326244" w:rsidRPr="00E619C8" w:rsidRDefault="00615F13">
            <w:pPr>
              <w:jc w:val="center"/>
              <w:rPr>
                <w:rFonts w:ascii="Arial" w:hAnsi="Arial" w:cs="Arial"/>
                <w:color w:val="000000"/>
                <w:sz w:val="22"/>
                <w:szCs w:val="22"/>
              </w:rPr>
            </w:pPr>
            <w:r w:rsidRPr="00E619C8">
              <w:rPr>
                <w:rFonts w:ascii="Arial" w:hAnsi="Arial" w:cs="Arial"/>
                <w:color w:val="000000"/>
                <w:sz w:val="22"/>
                <w:szCs w:val="22"/>
              </w:rPr>
              <w:t>2</w:t>
            </w:r>
          </w:p>
        </w:tc>
        <w:tc>
          <w:tcPr>
            <w:tcW w:w="1820" w:type="dxa"/>
            <w:tcBorders>
              <w:top w:val="nil"/>
              <w:left w:val="nil"/>
              <w:bottom w:val="single" w:sz="4" w:space="0" w:color="auto"/>
              <w:right w:val="single" w:sz="4" w:space="0" w:color="auto"/>
            </w:tcBorders>
            <w:vAlign w:val="center"/>
            <w:hideMark/>
          </w:tcPr>
          <w:p w14:paraId="3221B2FE" w14:textId="77777777" w:rsidR="00326244" w:rsidRPr="00E619C8" w:rsidRDefault="00326244">
            <w:pPr>
              <w:jc w:val="center"/>
              <w:rPr>
                <w:rFonts w:ascii="Arial" w:hAnsi="Arial" w:cs="Arial"/>
                <w:color w:val="000000"/>
                <w:sz w:val="22"/>
                <w:szCs w:val="22"/>
              </w:rPr>
            </w:pPr>
            <w:r w:rsidRPr="00E619C8">
              <w:rPr>
                <w:rFonts w:ascii="Arial" w:hAnsi="Arial" w:cs="Arial"/>
                <w:color w:val="000000"/>
                <w:sz w:val="22"/>
                <w:szCs w:val="22"/>
              </w:rPr>
              <w:t>28.68</w:t>
            </w:r>
          </w:p>
        </w:tc>
      </w:tr>
      <w:tr w:rsidR="00326244" w:rsidRPr="00E619C8" w14:paraId="79AE7B30" w14:textId="77777777" w:rsidTr="007F3E4C">
        <w:trPr>
          <w:trHeight w:val="864"/>
          <w:jc w:val="center"/>
        </w:trPr>
        <w:tc>
          <w:tcPr>
            <w:tcW w:w="1880" w:type="dxa"/>
            <w:tcBorders>
              <w:top w:val="nil"/>
              <w:left w:val="single" w:sz="4" w:space="0" w:color="auto"/>
              <w:bottom w:val="single" w:sz="4" w:space="0" w:color="auto"/>
              <w:right w:val="single" w:sz="4" w:space="0" w:color="auto"/>
            </w:tcBorders>
            <w:vAlign w:val="center"/>
            <w:hideMark/>
          </w:tcPr>
          <w:p w14:paraId="14A3FFCC" w14:textId="77777777" w:rsidR="00326244" w:rsidRPr="00E619C8" w:rsidRDefault="00326244">
            <w:pPr>
              <w:jc w:val="center"/>
              <w:rPr>
                <w:rFonts w:ascii="Arial" w:hAnsi="Arial" w:cs="Arial"/>
                <w:color w:val="000000"/>
                <w:sz w:val="22"/>
                <w:szCs w:val="22"/>
              </w:rPr>
            </w:pPr>
            <w:r w:rsidRPr="00E619C8">
              <w:rPr>
                <w:rFonts w:ascii="Arial" w:hAnsi="Arial" w:cs="Arial"/>
                <w:color w:val="000000"/>
                <w:sz w:val="22"/>
                <w:szCs w:val="22"/>
              </w:rPr>
              <w:t>Medium Budget</w:t>
            </w:r>
          </w:p>
        </w:tc>
        <w:tc>
          <w:tcPr>
            <w:tcW w:w="1360" w:type="dxa"/>
            <w:tcBorders>
              <w:top w:val="nil"/>
              <w:left w:val="nil"/>
              <w:bottom w:val="single" w:sz="4" w:space="0" w:color="auto"/>
              <w:right w:val="single" w:sz="4" w:space="0" w:color="auto"/>
            </w:tcBorders>
            <w:vAlign w:val="center"/>
            <w:hideMark/>
          </w:tcPr>
          <w:p w14:paraId="7298FF83" w14:textId="7D320E99" w:rsidR="00326244" w:rsidRPr="00E619C8" w:rsidRDefault="00615F13">
            <w:pPr>
              <w:jc w:val="center"/>
              <w:rPr>
                <w:rFonts w:ascii="Arial" w:hAnsi="Arial" w:cs="Arial"/>
                <w:color w:val="000000"/>
                <w:sz w:val="22"/>
                <w:szCs w:val="22"/>
              </w:rPr>
            </w:pPr>
            <w:r w:rsidRPr="00E619C8">
              <w:rPr>
                <w:rFonts w:ascii="Arial" w:hAnsi="Arial" w:cs="Arial"/>
                <w:color w:val="000000"/>
                <w:sz w:val="22"/>
                <w:szCs w:val="22"/>
              </w:rPr>
              <w:t>8</w:t>
            </w:r>
          </w:p>
        </w:tc>
        <w:tc>
          <w:tcPr>
            <w:tcW w:w="1820" w:type="dxa"/>
            <w:tcBorders>
              <w:top w:val="nil"/>
              <w:left w:val="nil"/>
              <w:bottom w:val="single" w:sz="4" w:space="0" w:color="auto"/>
              <w:right w:val="single" w:sz="4" w:space="0" w:color="auto"/>
            </w:tcBorders>
            <w:vAlign w:val="center"/>
            <w:hideMark/>
          </w:tcPr>
          <w:p w14:paraId="728F2C96" w14:textId="396A98BB" w:rsidR="00326244" w:rsidRPr="00E619C8" w:rsidRDefault="00326244">
            <w:pPr>
              <w:jc w:val="center"/>
              <w:rPr>
                <w:rFonts w:ascii="Arial" w:hAnsi="Arial" w:cs="Arial"/>
                <w:color w:val="000000"/>
                <w:sz w:val="22"/>
                <w:szCs w:val="22"/>
              </w:rPr>
            </w:pPr>
            <w:r w:rsidRPr="00E619C8">
              <w:rPr>
                <w:rFonts w:ascii="Arial" w:hAnsi="Arial" w:cs="Arial"/>
                <w:color w:val="000000"/>
                <w:sz w:val="22"/>
                <w:szCs w:val="22"/>
              </w:rPr>
              <w:t>29.</w:t>
            </w:r>
            <w:r w:rsidR="00615F13" w:rsidRPr="00E619C8">
              <w:rPr>
                <w:rFonts w:ascii="Arial" w:hAnsi="Arial" w:cs="Arial"/>
                <w:color w:val="000000"/>
                <w:sz w:val="22"/>
                <w:szCs w:val="22"/>
              </w:rPr>
              <w:t>58</w:t>
            </w:r>
          </w:p>
        </w:tc>
      </w:tr>
      <w:tr w:rsidR="00326244" w:rsidRPr="00E619C8" w14:paraId="080A0841" w14:textId="77777777" w:rsidTr="007F3E4C">
        <w:trPr>
          <w:trHeight w:val="576"/>
          <w:jc w:val="center"/>
        </w:trPr>
        <w:tc>
          <w:tcPr>
            <w:tcW w:w="1880" w:type="dxa"/>
            <w:tcBorders>
              <w:top w:val="nil"/>
              <w:left w:val="single" w:sz="4" w:space="0" w:color="auto"/>
              <w:bottom w:val="single" w:sz="4" w:space="0" w:color="auto"/>
              <w:right w:val="single" w:sz="4" w:space="0" w:color="auto"/>
            </w:tcBorders>
            <w:vAlign w:val="center"/>
            <w:hideMark/>
          </w:tcPr>
          <w:p w14:paraId="35B8D4A7" w14:textId="77777777" w:rsidR="00326244" w:rsidRPr="00E619C8" w:rsidRDefault="00326244">
            <w:pPr>
              <w:jc w:val="center"/>
              <w:rPr>
                <w:rFonts w:ascii="Arial" w:hAnsi="Arial" w:cs="Arial"/>
                <w:color w:val="000000"/>
                <w:sz w:val="22"/>
                <w:szCs w:val="22"/>
              </w:rPr>
            </w:pPr>
            <w:r w:rsidRPr="00E619C8">
              <w:rPr>
                <w:rFonts w:ascii="Arial" w:hAnsi="Arial" w:cs="Arial"/>
                <w:color w:val="000000"/>
                <w:sz w:val="22"/>
                <w:szCs w:val="22"/>
              </w:rPr>
              <w:t>Low Budget</w:t>
            </w:r>
          </w:p>
        </w:tc>
        <w:tc>
          <w:tcPr>
            <w:tcW w:w="1360" w:type="dxa"/>
            <w:tcBorders>
              <w:top w:val="nil"/>
              <w:left w:val="nil"/>
              <w:bottom w:val="single" w:sz="4" w:space="0" w:color="auto"/>
              <w:right w:val="single" w:sz="4" w:space="0" w:color="auto"/>
            </w:tcBorders>
            <w:vAlign w:val="center"/>
            <w:hideMark/>
          </w:tcPr>
          <w:p w14:paraId="0EC2DA05" w14:textId="0466EBBC" w:rsidR="00326244" w:rsidRPr="00E619C8" w:rsidRDefault="00326244">
            <w:pPr>
              <w:jc w:val="center"/>
              <w:rPr>
                <w:rFonts w:ascii="Arial" w:hAnsi="Arial" w:cs="Arial"/>
                <w:color w:val="000000"/>
                <w:sz w:val="22"/>
                <w:szCs w:val="22"/>
              </w:rPr>
            </w:pPr>
            <w:r w:rsidRPr="00E619C8">
              <w:rPr>
                <w:rFonts w:ascii="Arial" w:hAnsi="Arial" w:cs="Arial"/>
                <w:color w:val="000000"/>
                <w:sz w:val="22"/>
                <w:szCs w:val="22"/>
              </w:rPr>
              <w:t>2</w:t>
            </w:r>
            <w:r w:rsidR="00615F13" w:rsidRPr="00E619C8">
              <w:rPr>
                <w:rFonts w:ascii="Arial" w:hAnsi="Arial" w:cs="Arial"/>
                <w:color w:val="000000"/>
                <w:sz w:val="22"/>
                <w:szCs w:val="22"/>
              </w:rPr>
              <w:t>2</w:t>
            </w:r>
          </w:p>
        </w:tc>
        <w:tc>
          <w:tcPr>
            <w:tcW w:w="1820" w:type="dxa"/>
            <w:tcBorders>
              <w:top w:val="nil"/>
              <w:left w:val="nil"/>
              <w:bottom w:val="single" w:sz="4" w:space="0" w:color="auto"/>
              <w:right w:val="single" w:sz="4" w:space="0" w:color="auto"/>
            </w:tcBorders>
            <w:vAlign w:val="center"/>
            <w:hideMark/>
          </w:tcPr>
          <w:p w14:paraId="6432B301" w14:textId="10E6375A" w:rsidR="00326244" w:rsidRPr="00E619C8" w:rsidRDefault="00326244">
            <w:pPr>
              <w:jc w:val="center"/>
              <w:rPr>
                <w:rFonts w:ascii="Arial" w:hAnsi="Arial" w:cs="Arial"/>
                <w:color w:val="000000"/>
                <w:sz w:val="22"/>
                <w:szCs w:val="22"/>
              </w:rPr>
            </w:pPr>
            <w:r w:rsidRPr="00E619C8">
              <w:rPr>
                <w:rFonts w:ascii="Arial" w:hAnsi="Arial" w:cs="Arial"/>
                <w:color w:val="000000"/>
                <w:sz w:val="22"/>
                <w:szCs w:val="22"/>
              </w:rPr>
              <w:t>29.</w:t>
            </w:r>
            <w:r w:rsidR="00615F13" w:rsidRPr="00E619C8">
              <w:rPr>
                <w:rFonts w:ascii="Arial" w:hAnsi="Arial" w:cs="Arial"/>
                <w:color w:val="000000"/>
                <w:sz w:val="22"/>
                <w:szCs w:val="22"/>
              </w:rPr>
              <w:t>63</w:t>
            </w:r>
          </w:p>
        </w:tc>
      </w:tr>
    </w:tbl>
    <w:p w14:paraId="67032CE3" w14:textId="7FDDF653" w:rsidR="00B21013" w:rsidRPr="00E619C8" w:rsidRDefault="00E113EC" w:rsidP="00B21013">
      <w:pPr>
        <w:spacing w:before="240" w:after="360" w:line="300" w:lineRule="auto"/>
        <w:jc w:val="center"/>
        <w:rPr>
          <w:rFonts w:ascii="Arial" w:eastAsia="Arial" w:hAnsi="Arial" w:cs="Arial"/>
          <w:sz w:val="20"/>
          <w:szCs w:val="20"/>
        </w:rPr>
      </w:pPr>
      <w:r w:rsidRPr="00E619C8">
        <w:rPr>
          <w:rFonts w:ascii="Arial" w:eastAsia="Arial" w:hAnsi="Arial" w:cs="Arial"/>
          <w:sz w:val="20"/>
          <w:szCs w:val="20"/>
        </w:rPr>
        <w:t xml:space="preserve">Table </w:t>
      </w:r>
      <w:r w:rsidR="00DD0F1A" w:rsidRPr="00E619C8">
        <w:rPr>
          <w:rFonts w:ascii="Arial" w:eastAsia="Arial" w:hAnsi="Arial" w:cs="Arial"/>
          <w:sz w:val="20"/>
          <w:szCs w:val="20"/>
        </w:rPr>
        <w:t>21</w:t>
      </w:r>
      <w:r w:rsidRPr="00E619C8">
        <w:rPr>
          <w:rFonts w:ascii="Arial" w:eastAsia="Arial" w:hAnsi="Arial" w:cs="Arial"/>
          <w:sz w:val="20"/>
          <w:szCs w:val="20"/>
        </w:rPr>
        <w:t>. Number of Projects and Average ITI Score by Budget Category</w:t>
      </w:r>
    </w:p>
    <w:p w14:paraId="4550FD2A" w14:textId="1B3EDE46" w:rsidR="002033A5" w:rsidRPr="00E619C8" w:rsidRDefault="008A442D" w:rsidP="00D337EA">
      <w:pPr>
        <w:spacing w:before="240" w:after="240" w:line="300" w:lineRule="auto"/>
        <w:jc w:val="center"/>
        <w:rPr>
          <w:rFonts w:ascii="Arial" w:eastAsia="Arial" w:hAnsi="Arial" w:cs="Arial"/>
          <w:sz w:val="20"/>
          <w:szCs w:val="20"/>
        </w:rPr>
      </w:pPr>
      <w:r w:rsidRPr="00E619C8">
        <w:rPr>
          <w:noProof/>
        </w:rPr>
        <w:drawing>
          <wp:inline distT="0" distB="0" distL="0" distR="0" wp14:anchorId="151B9BD8" wp14:editId="5F367759">
            <wp:extent cx="4572000" cy="2743200"/>
            <wp:effectExtent l="0" t="0" r="0" b="0"/>
            <wp:docPr id="1855101159" name="Chart 1">
              <a:extLst xmlns:a="http://schemas.openxmlformats.org/drawingml/2006/main">
                <a:ext uri="{FF2B5EF4-FFF2-40B4-BE49-F238E27FC236}">
                  <a16:creationId xmlns:a16="http://schemas.microsoft.com/office/drawing/2014/main" id="{FFD3AF4E-1F62-B3F8-9E2F-D1C11D6924E6}"/>
                </a:ext>
              </a:extLst>
            </wp:docPr>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4F0D0601" w14:textId="67947077" w:rsidR="002033A5" w:rsidRPr="00E619C8" w:rsidRDefault="00E113EC">
      <w:pPr>
        <w:spacing w:before="240" w:after="240" w:line="300" w:lineRule="auto"/>
        <w:jc w:val="center"/>
        <w:rPr>
          <w:rFonts w:ascii="Arial" w:eastAsia="Arial" w:hAnsi="Arial" w:cs="Arial"/>
          <w:sz w:val="22"/>
          <w:szCs w:val="22"/>
        </w:rPr>
      </w:pPr>
      <w:r w:rsidRPr="00E619C8">
        <w:rPr>
          <w:rFonts w:ascii="Arial" w:eastAsia="Arial" w:hAnsi="Arial" w:cs="Arial"/>
          <w:sz w:val="22"/>
          <w:szCs w:val="22"/>
        </w:rPr>
        <w:t xml:space="preserve">Figure </w:t>
      </w:r>
      <w:r w:rsidR="00702DCB" w:rsidRPr="00E619C8">
        <w:rPr>
          <w:rFonts w:ascii="Arial" w:eastAsia="Arial" w:hAnsi="Arial" w:cs="Arial"/>
          <w:sz w:val="22"/>
          <w:szCs w:val="22"/>
        </w:rPr>
        <w:t>1</w:t>
      </w:r>
      <w:r w:rsidR="00EB65C4" w:rsidRPr="00E619C8">
        <w:rPr>
          <w:rFonts w:ascii="Arial" w:eastAsia="Arial" w:hAnsi="Arial" w:cs="Arial"/>
          <w:sz w:val="22"/>
          <w:szCs w:val="22"/>
        </w:rPr>
        <w:t>3</w:t>
      </w:r>
      <w:r w:rsidRPr="00E619C8">
        <w:rPr>
          <w:rFonts w:ascii="Arial" w:eastAsia="Arial" w:hAnsi="Arial" w:cs="Arial"/>
          <w:sz w:val="22"/>
          <w:szCs w:val="22"/>
        </w:rPr>
        <w:t>. Project Budget vs ITI Project Score</w:t>
      </w:r>
    </w:p>
    <w:p w14:paraId="41AC34B9" w14:textId="7777777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The comparison of ITI project scores across budget categories reveals only marginal differences. High-budget projects (20 projects) obtained an average ITI score of 28.68, while medium-budget projects (7 projects) achieved an average of 29.41. Low-budget projects (2 projects) recorded the highest average score at 29.96.</w:t>
      </w:r>
    </w:p>
    <w:p w14:paraId="066F6751" w14:textId="2B5DF51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However, the overall gap between the highest and lowest average scores is only 1.28 points, </w:t>
      </w:r>
      <w:r w:rsidR="00663ED3">
        <w:rPr>
          <w:rFonts w:ascii="Arial" w:eastAsia="Arial" w:hAnsi="Arial" w:cs="Arial"/>
          <w:sz w:val="22"/>
          <w:szCs w:val="22"/>
        </w:rPr>
        <w:t xml:space="preserve">suggesting that project budget size does not </w:t>
      </w:r>
      <w:r w:rsidRPr="00E619C8">
        <w:rPr>
          <w:rFonts w:ascii="Arial" w:eastAsia="Arial" w:hAnsi="Arial" w:cs="Arial"/>
          <w:sz w:val="22"/>
          <w:szCs w:val="22"/>
        </w:rPr>
        <w:t>significantly influence governance performance.</w:t>
      </w:r>
    </w:p>
    <w:p w14:paraId="7ADB3430" w14:textId="77777777"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The scatter plot analysis further confirms the absence of a strong relationship between project budget and ITI project score: the distribution of points shows no clear upward or downward trend, meaning that larger financial allocations do not necessarily correspond to better governance outcomes.</w:t>
      </w:r>
    </w:p>
    <w:p w14:paraId="466E0442" w14:textId="02866825" w:rsidR="002033A5"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Notably, some of the highest-budget projects achieved only moderate ITI scores, and the highest project score was not associated with the largest budget, suggesting that governance quality is relatively independent of financial magnitude. At the same time, the low-budget category includes only two projects, which limits the representativeness of that group and requires </w:t>
      </w:r>
      <w:r w:rsidR="00663ED3">
        <w:rPr>
          <w:rFonts w:ascii="Arial" w:eastAsia="Arial" w:hAnsi="Arial" w:cs="Arial"/>
          <w:sz w:val="22"/>
          <w:szCs w:val="22"/>
        </w:rPr>
        <w:t>caution in interpreting</w:t>
      </w:r>
      <w:r w:rsidRPr="00E619C8">
        <w:rPr>
          <w:rFonts w:ascii="Arial" w:eastAsia="Arial" w:hAnsi="Arial" w:cs="Arial"/>
          <w:sz w:val="22"/>
          <w:szCs w:val="22"/>
        </w:rPr>
        <w:t xml:space="preserve"> its slightly higher average.</w:t>
      </w:r>
    </w:p>
    <w:p w14:paraId="561FF295" w14:textId="586AE0FF" w:rsidR="00D337EA" w:rsidRPr="00E619C8" w:rsidRDefault="00E113EC">
      <w:pPr>
        <w:spacing w:before="240" w:after="240" w:line="300" w:lineRule="auto"/>
        <w:jc w:val="both"/>
        <w:rPr>
          <w:rFonts w:ascii="Arial" w:eastAsia="Arial" w:hAnsi="Arial" w:cs="Arial"/>
          <w:sz w:val="22"/>
          <w:szCs w:val="22"/>
        </w:rPr>
      </w:pPr>
      <w:r w:rsidRPr="00E619C8">
        <w:rPr>
          <w:rFonts w:ascii="Arial" w:eastAsia="Arial" w:hAnsi="Arial" w:cs="Arial"/>
          <w:sz w:val="22"/>
          <w:szCs w:val="22"/>
        </w:rPr>
        <w:t>Overall, the findings suggest that transparency and accountability mechanisms operate relatively consistently across projects of different budget scales, although high-budget projects may still entail greater governance risk exposure due to their financial weight.</w:t>
      </w:r>
    </w:p>
    <w:p w14:paraId="2A7A93DB" w14:textId="77777777" w:rsidR="00D337EA" w:rsidRPr="00E619C8" w:rsidRDefault="00D337EA">
      <w:pPr>
        <w:spacing w:before="240" w:after="240" w:line="300" w:lineRule="auto"/>
        <w:jc w:val="both"/>
        <w:rPr>
          <w:rFonts w:ascii="Arial" w:eastAsia="Arial" w:hAnsi="Arial" w:cs="Arial"/>
          <w:sz w:val="22"/>
          <w:szCs w:val="22"/>
        </w:rPr>
      </w:pPr>
    </w:p>
    <w:p w14:paraId="7107FA26" w14:textId="77777777" w:rsidR="002033A5" w:rsidRPr="00E619C8" w:rsidRDefault="00E113EC">
      <w:pPr>
        <w:pStyle w:val="Heading1"/>
        <w:pBdr>
          <w:top w:val="nil"/>
          <w:left w:val="nil"/>
          <w:bottom w:val="nil"/>
          <w:right w:val="nil"/>
          <w:between w:val="nil"/>
        </w:pBdr>
        <w:spacing w:before="120" w:after="240" w:line="276" w:lineRule="auto"/>
        <w:rPr>
          <w:rFonts w:ascii="Arial" w:eastAsia="Arial" w:hAnsi="Arial" w:cs="Arial"/>
          <w:sz w:val="22"/>
          <w:szCs w:val="22"/>
        </w:rPr>
      </w:pPr>
      <w:bookmarkStart w:id="35" w:name="_Toc227235262"/>
      <w:r w:rsidRPr="00E619C8">
        <w:rPr>
          <w:rFonts w:ascii="Arial" w:eastAsia="Arial" w:hAnsi="Arial" w:cs="Arial"/>
          <w:b/>
          <w:bCs/>
          <w:color w:val="C00000"/>
          <w:sz w:val="48"/>
          <w:szCs w:val="48"/>
        </w:rPr>
        <w:t>Conclusions</w:t>
      </w:r>
      <w:bookmarkEnd w:id="35"/>
      <w:r w:rsidRPr="00E619C8">
        <w:rPr>
          <w:rFonts w:ascii="Arial" w:eastAsia="Arial" w:hAnsi="Arial" w:cs="Arial"/>
          <w:sz w:val="22"/>
          <w:szCs w:val="22"/>
        </w:rPr>
        <w:t xml:space="preserve"> </w:t>
      </w:r>
    </w:p>
    <w:p w14:paraId="10B15C3A" w14:textId="77777777" w:rsidR="0006228A" w:rsidRPr="00E619C8" w:rsidRDefault="004C634F" w:rsidP="00B21013">
      <w:pPr>
        <w:pStyle w:val="ListParagraph"/>
        <w:numPr>
          <w:ilvl w:val="0"/>
          <w:numId w:val="29"/>
        </w:numPr>
        <w:spacing w:line="300" w:lineRule="auto"/>
        <w:ind w:hanging="436"/>
        <w:jc w:val="both"/>
        <w:rPr>
          <w:rFonts w:ascii="Arial" w:eastAsia="Arial" w:hAnsi="Arial" w:cs="Arial"/>
          <w:sz w:val="22"/>
          <w:szCs w:val="22"/>
          <w:lang w:val="en-GB"/>
        </w:rPr>
      </w:pPr>
      <w:r w:rsidRPr="00E619C8">
        <w:rPr>
          <w:rFonts w:ascii="Arial" w:eastAsia="Arial" w:hAnsi="Arial" w:cs="Arial"/>
          <w:b/>
          <w:bCs/>
          <w:sz w:val="22"/>
          <w:szCs w:val="22"/>
          <w:lang w:val="en-GB"/>
        </w:rPr>
        <w:t>NTB’s sub-national ITI score indicates moderate transparency but remains slightly below the international average.</w:t>
      </w:r>
    </w:p>
    <w:p w14:paraId="64CEC4AB" w14:textId="04B9243B" w:rsidR="004C634F" w:rsidRPr="00E619C8" w:rsidRDefault="004C634F" w:rsidP="00B21013">
      <w:pPr>
        <w:pStyle w:val="ListParagraph"/>
        <w:spacing w:line="300" w:lineRule="auto"/>
        <w:jc w:val="both"/>
        <w:rPr>
          <w:rFonts w:eastAsia="Arial"/>
          <w:lang w:val="en-GB"/>
        </w:rPr>
      </w:pPr>
      <w:r w:rsidRPr="00E619C8">
        <w:rPr>
          <w:rFonts w:ascii="Arial" w:eastAsia="Arial" w:hAnsi="Arial" w:cs="Arial"/>
          <w:sz w:val="22"/>
          <w:szCs w:val="22"/>
          <w:lang w:val="en-GB"/>
        </w:rPr>
        <w:t>The sub-national ITI score for NTB</w:t>
      </w:r>
      <w:r w:rsidR="00663ED3">
        <w:rPr>
          <w:rFonts w:ascii="Arial" w:eastAsia="Arial" w:hAnsi="Arial" w:cs="Arial"/>
          <w:sz w:val="22"/>
          <w:szCs w:val="22"/>
          <w:lang w:val="en-GB"/>
        </w:rPr>
        <w:t>, at 40.16 out of 100,</w:t>
      </w:r>
      <w:r w:rsidRPr="00E619C8">
        <w:rPr>
          <w:rFonts w:ascii="Arial" w:eastAsia="Arial" w:hAnsi="Arial" w:cs="Arial"/>
          <w:sz w:val="22"/>
          <w:szCs w:val="22"/>
          <w:lang w:val="en-GB"/>
        </w:rPr>
        <w:t xml:space="preserve"> indicat</w:t>
      </w:r>
      <w:r w:rsidR="006675DF" w:rsidRPr="00E619C8">
        <w:rPr>
          <w:rFonts w:ascii="Arial" w:eastAsia="Arial" w:hAnsi="Arial" w:cs="Arial"/>
          <w:sz w:val="22"/>
          <w:szCs w:val="22"/>
          <w:lang w:val="en-GB"/>
        </w:rPr>
        <w:t>es</w:t>
      </w:r>
      <w:r w:rsidRPr="00E619C8">
        <w:rPr>
          <w:rFonts w:ascii="Arial" w:eastAsia="Arial" w:hAnsi="Arial" w:cs="Arial"/>
          <w:sz w:val="22"/>
          <w:szCs w:val="22"/>
          <w:lang w:val="en-GB"/>
        </w:rPr>
        <w:t xml:space="preserve"> a moderate level of infrastructure transparency. While this score is slightly below the international </w:t>
      </w:r>
      <w:r w:rsidR="006675DF" w:rsidRPr="00E619C8">
        <w:rPr>
          <w:rFonts w:ascii="Arial" w:eastAsia="Arial" w:hAnsi="Arial" w:cs="Arial"/>
          <w:sz w:val="22"/>
          <w:szCs w:val="22"/>
          <w:lang w:val="en-GB"/>
        </w:rPr>
        <w:t xml:space="preserve">ITI </w:t>
      </w:r>
      <w:r w:rsidRPr="00E619C8">
        <w:rPr>
          <w:rFonts w:ascii="Arial" w:eastAsia="Arial" w:hAnsi="Arial" w:cs="Arial"/>
          <w:sz w:val="22"/>
          <w:szCs w:val="22"/>
          <w:lang w:val="en-GB"/>
        </w:rPr>
        <w:t>average</w:t>
      </w:r>
      <w:r w:rsidR="006675DF" w:rsidRPr="00E619C8">
        <w:rPr>
          <w:rFonts w:ascii="Arial" w:eastAsia="Arial" w:hAnsi="Arial" w:cs="Arial"/>
          <w:sz w:val="22"/>
          <w:szCs w:val="22"/>
          <w:lang w:val="en-GB"/>
        </w:rPr>
        <w:t xml:space="preserve"> </w:t>
      </w:r>
      <w:r w:rsidRPr="00E619C8">
        <w:rPr>
          <w:rFonts w:ascii="Arial" w:eastAsia="Arial" w:hAnsi="Arial" w:cs="Arial"/>
          <w:sz w:val="22"/>
          <w:szCs w:val="22"/>
          <w:lang w:val="en-GB"/>
        </w:rPr>
        <w:t xml:space="preserve">of 42.73, it places NTB among countries and </w:t>
      </w:r>
      <w:r w:rsidR="006675DF" w:rsidRPr="00E619C8">
        <w:rPr>
          <w:rFonts w:ascii="Arial" w:eastAsia="Arial" w:hAnsi="Arial" w:cs="Arial"/>
          <w:sz w:val="22"/>
          <w:szCs w:val="22"/>
          <w:lang w:val="en-GB"/>
        </w:rPr>
        <w:t>locations</w:t>
      </w:r>
      <w:r w:rsidRPr="00E619C8">
        <w:rPr>
          <w:rFonts w:ascii="Arial" w:eastAsia="Arial" w:hAnsi="Arial" w:cs="Arial"/>
          <w:sz w:val="22"/>
          <w:szCs w:val="22"/>
          <w:lang w:val="en-GB"/>
        </w:rPr>
        <w:t xml:space="preserve"> with emerging transparency systems, where foundational institutional elements are already established but not yet fully translated into comprehensive transparency outcomes. The result also reflects uneven performance across the four ITI dimensions, with relatively stronger scores in enabling and institutional aspects, and weaker outcomes in citizen participation and information disclosure. Overall, this suggests that NTB has made progress in establishing the basic framework for infrastructure transparency but still needs to strengthen implementation to close the gap with higher-performing CoST members.</w:t>
      </w:r>
    </w:p>
    <w:p w14:paraId="2F9CBF26" w14:textId="77777777" w:rsidR="0006228A" w:rsidRPr="00E619C8" w:rsidRDefault="00E113EC" w:rsidP="00B21013">
      <w:pPr>
        <w:numPr>
          <w:ilvl w:val="0"/>
          <w:numId w:val="29"/>
        </w:numPr>
        <w:spacing w:before="240" w:line="300" w:lineRule="auto"/>
        <w:ind w:hanging="436"/>
        <w:jc w:val="both"/>
        <w:rPr>
          <w:rFonts w:ascii="Arial" w:eastAsia="Arial" w:hAnsi="Arial" w:cs="Arial"/>
          <w:sz w:val="22"/>
          <w:szCs w:val="22"/>
        </w:rPr>
      </w:pPr>
      <w:r w:rsidRPr="00E619C8">
        <w:rPr>
          <w:rFonts w:ascii="Arial" w:eastAsia="Arial" w:hAnsi="Arial" w:cs="Arial"/>
          <w:b/>
          <w:bCs/>
          <w:sz w:val="22"/>
          <w:szCs w:val="22"/>
        </w:rPr>
        <w:t>The average ITI score across the 19 Procuring Entities (PEs) is 36.74 out of a maximum of 100.</w:t>
      </w:r>
    </w:p>
    <w:p w14:paraId="5A148774" w14:textId="153EA8F7" w:rsidR="002033A5" w:rsidRPr="00E619C8" w:rsidRDefault="00E113EC" w:rsidP="00B21013">
      <w:pPr>
        <w:spacing w:line="300" w:lineRule="auto"/>
        <w:ind w:left="720"/>
        <w:jc w:val="both"/>
        <w:rPr>
          <w:rFonts w:ascii="Arial" w:eastAsia="Arial" w:hAnsi="Arial" w:cs="Arial"/>
          <w:sz w:val="22"/>
          <w:szCs w:val="22"/>
        </w:rPr>
      </w:pPr>
      <w:r w:rsidRPr="00E619C8">
        <w:rPr>
          <w:rFonts w:ascii="Arial" w:eastAsia="Arial" w:hAnsi="Arial" w:cs="Arial"/>
          <w:sz w:val="22"/>
          <w:szCs w:val="22"/>
        </w:rPr>
        <w:t xml:space="preserve">Although all PEs </w:t>
      </w:r>
      <w:r w:rsidR="00663ED3">
        <w:rPr>
          <w:rFonts w:ascii="Arial" w:eastAsia="Arial" w:hAnsi="Arial" w:cs="Arial"/>
          <w:sz w:val="22"/>
          <w:szCs w:val="22"/>
        </w:rPr>
        <w:t xml:space="preserve">made some </w:t>
      </w:r>
      <w:r w:rsidR="000C16B9" w:rsidRPr="00E619C8">
        <w:rPr>
          <w:rFonts w:ascii="Arial" w:eastAsia="Arial" w:hAnsi="Arial" w:cs="Arial"/>
          <w:sz w:val="22"/>
          <w:szCs w:val="22"/>
        </w:rPr>
        <w:t>progress</w:t>
      </w:r>
      <w:r w:rsidRPr="00E619C8">
        <w:rPr>
          <w:rFonts w:ascii="Arial" w:eastAsia="Arial" w:hAnsi="Arial" w:cs="Arial"/>
          <w:sz w:val="22"/>
          <w:szCs w:val="22"/>
        </w:rPr>
        <w:t>, this average indicates a moderate level of transparency performance. The gap between the highest-scoring PE (57.02) and the lowest (18.65) is 38.37 points, showing substantial institutional disparities in governance capacity and transparency practices.</w:t>
      </w:r>
    </w:p>
    <w:p w14:paraId="2677EBFD" w14:textId="07168E6D" w:rsidR="00E652C9" w:rsidRPr="00E619C8" w:rsidRDefault="00E652C9" w:rsidP="00B21013">
      <w:pPr>
        <w:numPr>
          <w:ilvl w:val="0"/>
          <w:numId w:val="29"/>
        </w:numPr>
        <w:spacing w:before="240" w:line="300" w:lineRule="auto"/>
        <w:ind w:hanging="436"/>
        <w:jc w:val="both"/>
        <w:rPr>
          <w:rFonts w:ascii="Arial" w:eastAsia="Arial" w:hAnsi="Arial" w:cs="Arial"/>
        </w:rPr>
      </w:pPr>
      <w:r w:rsidRPr="00E619C8">
        <w:rPr>
          <w:rFonts w:ascii="Arial" w:eastAsia="Arial" w:hAnsi="Arial" w:cs="Arial"/>
          <w:b/>
          <w:bCs/>
          <w:sz w:val="22"/>
          <w:szCs w:val="22"/>
        </w:rPr>
        <w:t>Dimension 1 Enabling Environment records the highest score among all dimensions.</w:t>
      </w:r>
      <w:r w:rsidRPr="00E619C8">
        <w:rPr>
          <w:rFonts w:ascii="Arial" w:eastAsia="Arial" w:hAnsi="Arial" w:cs="Arial"/>
          <w:sz w:val="22"/>
          <w:szCs w:val="22"/>
        </w:rPr>
        <w:br/>
        <w:t>Dimension 1 achieve</w:t>
      </w:r>
      <w:r w:rsidR="006675DF" w:rsidRPr="00E619C8">
        <w:rPr>
          <w:rFonts w:ascii="Arial" w:eastAsia="Arial" w:hAnsi="Arial" w:cs="Arial"/>
          <w:sz w:val="22"/>
          <w:szCs w:val="22"/>
        </w:rPr>
        <w:t>d</w:t>
      </w:r>
      <w:r w:rsidRPr="00E619C8">
        <w:rPr>
          <w:rFonts w:ascii="Arial" w:eastAsia="Arial" w:hAnsi="Arial" w:cs="Arial"/>
          <w:sz w:val="22"/>
          <w:szCs w:val="22"/>
        </w:rPr>
        <w:t xml:space="preserve"> a score of </w:t>
      </w:r>
      <w:r w:rsidRPr="00E619C8">
        <w:rPr>
          <w:rFonts w:ascii="Arial" w:eastAsia="Arial" w:hAnsi="Arial" w:cs="Arial"/>
          <w:b/>
          <w:bCs/>
          <w:sz w:val="22"/>
          <w:szCs w:val="22"/>
        </w:rPr>
        <w:t>56.60</w:t>
      </w:r>
      <w:r w:rsidRPr="00E619C8">
        <w:rPr>
          <w:rFonts w:ascii="Arial" w:eastAsia="Arial" w:hAnsi="Arial" w:cs="Arial"/>
          <w:sz w:val="22"/>
          <w:szCs w:val="22"/>
        </w:rPr>
        <w:t xml:space="preserve">, indicating that NTB has relatively stronger regulatory and institutional foundations supporting infrastructure transparency. This includes legal frameworks, policy instruments, and </w:t>
      </w:r>
      <w:r w:rsidR="00663ED3">
        <w:rPr>
          <w:rFonts w:ascii="Arial" w:eastAsia="Arial" w:hAnsi="Arial" w:cs="Arial"/>
          <w:sz w:val="22"/>
          <w:szCs w:val="22"/>
        </w:rPr>
        <w:t>centralised</w:t>
      </w:r>
      <w:r w:rsidRPr="00E619C8">
        <w:rPr>
          <w:rFonts w:ascii="Arial" w:eastAsia="Arial" w:hAnsi="Arial" w:cs="Arial"/>
          <w:sz w:val="22"/>
          <w:szCs w:val="22"/>
        </w:rPr>
        <w:t xml:space="preserve"> digital tools that enable access to information. As this dimension is assessed at the sub-national level and applies uniformly to all Procuring Entities, the result reflects the overall enabling environment rather than institutional performance.</w:t>
      </w:r>
    </w:p>
    <w:p w14:paraId="4DC0E491" w14:textId="2E9DF181" w:rsidR="00C00665" w:rsidRPr="00E619C8" w:rsidRDefault="00C00665" w:rsidP="00B21013">
      <w:pPr>
        <w:numPr>
          <w:ilvl w:val="0"/>
          <w:numId w:val="29"/>
        </w:numPr>
        <w:spacing w:before="240" w:line="300" w:lineRule="auto"/>
        <w:ind w:hanging="436"/>
        <w:jc w:val="both"/>
        <w:rPr>
          <w:rFonts w:ascii="Arial" w:eastAsia="Arial" w:hAnsi="Arial" w:cs="Arial"/>
          <w:b/>
          <w:bCs/>
          <w:sz w:val="22"/>
          <w:szCs w:val="22"/>
        </w:rPr>
      </w:pPr>
      <w:r w:rsidRPr="00E619C8">
        <w:rPr>
          <w:rFonts w:ascii="Arial" w:eastAsia="Arial" w:hAnsi="Arial" w:cs="Arial"/>
          <w:b/>
          <w:bCs/>
          <w:sz w:val="22"/>
          <w:szCs w:val="22"/>
        </w:rPr>
        <w:t xml:space="preserve">Dimension 2 Capacities and Processes </w:t>
      </w:r>
      <w:r w:rsidR="006675DF" w:rsidRPr="00E619C8">
        <w:rPr>
          <w:rFonts w:ascii="Arial" w:eastAsia="Arial" w:hAnsi="Arial" w:cs="Arial"/>
          <w:b/>
          <w:bCs/>
          <w:sz w:val="22"/>
          <w:szCs w:val="22"/>
        </w:rPr>
        <w:t>indicate</w:t>
      </w:r>
      <w:r w:rsidRPr="00E619C8">
        <w:rPr>
          <w:rFonts w:ascii="Arial" w:eastAsia="Arial" w:hAnsi="Arial" w:cs="Arial"/>
          <w:b/>
          <w:bCs/>
          <w:sz w:val="22"/>
          <w:szCs w:val="22"/>
        </w:rPr>
        <w:t xml:space="preserve"> moderate institutional readiness among Procuring Entities.</w:t>
      </w:r>
    </w:p>
    <w:p w14:paraId="72CD10E8" w14:textId="09802AE0" w:rsidR="00E652C9" w:rsidRPr="00E619C8" w:rsidRDefault="00E652C9" w:rsidP="00B21013">
      <w:pPr>
        <w:spacing w:line="300" w:lineRule="auto"/>
        <w:ind w:left="720"/>
        <w:jc w:val="both"/>
        <w:rPr>
          <w:rFonts w:ascii="Arial" w:eastAsia="Arial" w:hAnsi="Arial" w:cs="Arial"/>
          <w:sz w:val="22"/>
          <w:szCs w:val="22"/>
        </w:rPr>
      </w:pPr>
      <w:r w:rsidRPr="00E619C8">
        <w:rPr>
          <w:rFonts w:ascii="Arial" w:eastAsia="Arial" w:hAnsi="Arial" w:cs="Arial"/>
          <w:sz w:val="22"/>
          <w:szCs w:val="22"/>
        </w:rPr>
        <w:t xml:space="preserve">The dimension records a score of 48.30, suggesting that basic internal capacities and procedures </w:t>
      </w:r>
      <w:r w:rsidR="0075618E">
        <w:rPr>
          <w:rFonts w:ascii="Arial" w:eastAsia="Arial" w:hAnsi="Arial" w:cs="Arial"/>
          <w:sz w:val="22"/>
          <w:szCs w:val="22"/>
        </w:rPr>
        <w:t>for managing and disclosing information are already in place in</w:t>
      </w:r>
      <w:r w:rsidRPr="00E619C8">
        <w:rPr>
          <w:rFonts w:ascii="Arial" w:eastAsia="Arial" w:hAnsi="Arial" w:cs="Arial"/>
          <w:sz w:val="22"/>
          <w:szCs w:val="22"/>
        </w:rPr>
        <w:t xml:space="preserve"> many institutions. However, these practices are not yet fully </w:t>
      </w:r>
      <w:r w:rsidR="0075618E">
        <w:rPr>
          <w:rFonts w:ascii="Arial" w:eastAsia="Arial" w:hAnsi="Arial" w:cs="Arial"/>
          <w:sz w:val="22"/>
          <w:szCs w:val="22"/>
        </w:rPr>
        <w:t>standardised</w:t>
      </w:r>
      <w:r w:rsidRPr="00E619C8">
        <w:rPr>
          <w:rFonts w:ascii="Arial" w:eastAsia="Arial" w:hAnsi="Arial" w:cs="Arial"/>
          <w:sz w:val="22"/>
          <w:szCs w:val="22"/>
        </w:rPr>
        <w:t xml:space="preserve"> or consistently implemented across Procuring Entities, indicating the need to strengthen institutional capacity and procedural alignment to support more systematic transparency practices.</w:t>
      </w:r>
    </w:p>
    <w:p w14:paraId="27830228" w14:textId="77777777" w:rsidR="00F16D5B" w:rsidRPr="00E619C8" w:rsidRDefault="00F16D5B" w:rsidP="00B21013">
      <w:pPr>
        <w:spacing w:line="300" w:lineRule="auto"/>
        <w:ind w:left="720"/>
        <w:jc w:val="both"/>
        <w:rPr>
          <w:rFonts w:ascii="Arial" w:eastAsia="Arial" w:hAnsi="Arial" w:cs="Arial"/>
        </w:rPr>
      </w:pPr>
    </w:p>
    <w:p w14:paraId="1EE97EC0" w14:textId="6F79FC20" w:rsidR="00E652C9" w:rsidRPr="00E619C8" w:rsidRDefault="00E652C9" w:rsidP="00B21013">
      <w:pPr>
        <w:numPr>
          <w:ilvl w:val="0"/>
          <w:numId w:val="29"/>
        </w:numPr>
        <w:spacing w:before="240" w:line="300" w:lineRule="auto"/>
        <w:ind w:hanging="436"/>
        <w:jc w:val="both"/>
        <w:rPr>
          <w:rFonts w:ascii="Arial" w:eastAsia="Arial" w:hAnsi="Arial" w:cs="Arial"/>
          <w:b/>
          <w:bCs/>
          <w:sz w:val="22"/>
          <w:szCs w:val="22"/>
        </w:rPr>
      </w:pPr>
      <w:r w:rsidRPr="00E619C8">
        <w:rPr>
          <w:rFonts w:ascii="Arial" w:eastAsia="Arial" w:hAnsi="Arial" w:cs="Arial"/>
          <w:b/>
          <w:bCs/>
          <w:sz w:val="22"/>
          <w:szCs w:val="22"/>
        </w:rPr>
        <w:t>Dimension 3 Citizen Participation highlights limited institutional mechanisms for public engagement.</w:t>
      </w:r>
    </w:p>
    <w:p w14:paraId="3AC27D25" w14:textId="04013AAB" w:rsidR="00E652C9" w:rsidRPr="00E619C8" w:rsidRDefault="00E652C9" w:rsidP="00B21013">
      <w:pPr>
        <w:spacing w:line="300" w:lineRule="auto"/>
        <w:ind w:left="720"/>
        <w:jc w:val="both"/>
        <w:rPr>
          <w:rFonts w:ascii="Arial" w:eastAsia="Arial" w:hAnsi="Arial" w:cs="Arial"/>
        </w:rPr>
      </w:pPr>
      <w:r w:rsidRPr="00E619C8">
        <w:rPr>
          <w:rFonts w:ascii="Arial" w:eastAsia="Arial" w:hAnsi="Arial" w:cs="Arial"/>
          <w:sz w:val="22"/>
          <w:szCs w:val="22"/>
        </w:rPr>
        <w:t>With a score of 31.61, this dimension indicates that opportunities for structured and meaningful citizen participation in infrastructure decision-making and oversight remain limited. The findings suggest that while some information may be available, mechanisms to actively involve citizens and incorporate public feedback are not yet systematically established across Procuring Entities.</w:t>
      </w:r>
    </w:p>
    <w:p w14:paraId="691BA9E1" w14:textId="40599D0A" w:rsidR="0006228A" w:rsidRPr="00E619C8" w:rsidRDefault="00C00665" w:rsidP="00B21013">
      <w:pPr>
        <w:numPr>
          <w:ilvl w:val="0"/>
          <w:numId w:val="29"/>
        </w:numPr>
        <w:spacing w:before="240" w:line="300" w:lineRule="auto"/>
        <w:ind w:hanging="436"/>
        <w:jc w:val="both"/>
        <w:rPr>
          <w:rFonts w:ascii="Arial" w:eastAsia="Arial" w:hAnsi="Arial" w:cs="Arial"/>
        </w:rPr>
      </w:pPr>
      <w:r w:rsidRPr="00E619C8">
        <w:rPr>
          <w:rFonts w:ascii="Arial" w:eastAsia="Arial" w:hAnsi="Arial" w:cs="Arial"/>
          <w:b/>
          <w:bCs/>
          <w:sz w:val="22"/>
          <w:szCs w:val="22"/>
        </w:rPr>
        <w:t>Dimension 4 Information Disclosure reveals significant challenges in the quality and consistency of disclosed infrastructure data.</w:t>
      </w:r>
    </w:p>
    <w:p w14:paraId="5115D1E2" w14:textId="304EAE69" w:rsidR="00C00665" w:rsidRPr="00E619C8" w:rsidRDefault="00C00665" w:rsidP="00B21013">
      <w:pPr>
        <w:spacing w:line="300" w:lineRule="auto"/>
        <w:ind w:left="720"/>
        <w:jc w:val="both"/>
        <w:rPr>
          <w:rFonts w:ascii="Arial" w:eastAsia="Arial" w:hAnsi="Arial" w:cs="Arial"/>
        </w:rPr>
      </w:pPr>
      <w:r w:rsidRPr="00E619C8">
        <w:rPr>
          <w:rFonts w:ascii="Arial" w:eastAsia="Arial" w:hAnsi="Arial" w:cs="Arial"/>
          <w:sz w:val="22"/>
          <w:szCs w:val="22"/>
        </w:rPr>
        <w:t xml:space="preserve">With a score of 29.83, this dimension records the lowest performance among the four dimensions. Although some infrastructure information is publicly available, disclosure practices remain fragmented and often </w:t>
      </w:r>
      <w:r w:rsidR="0075618E">
        <w:rPr>
          <w:rFonts w:ascii="Arial" w:eastAsia="Arial" w:hAnsi="Arial" w:cs="Arial"/>
          <w:sz w:val="22"/>
          <w:szCs w:val="22"/>
        </w:rPr>
        <w:t>incomplete, inconsistent, and inaccessible</w:t>
      </w:r>
      <w:r w:rsidRPr="00E619C8">
        <w:rPr>
          <w:rFonts w:ascii="Arial" w:eastAsia="Arial" w:hAnsi="Arial" w:cs="Arial"/>
          <w:sz w:val="22"/>
          <w:szCs w:val="22"/>
        </w:rPr>
        <w:t xml:space="preserve">, indicating limited alignment with </w:t>
      </w:r>
      <w:r w:rsidR="0075618E">
        <w:rPr>
          <w:rFonts w:ascii="Arial" w:eastAsia="Arial" w:hAnsi="Arial" w:cs="Arial"/>
          <w:sz w:val="22"/>
          <w:szCs w:val="22"/>
        </w:rPr>
        <w:t>recognised</w:t>
      </w:r>
      <w:r w:rsidRPr="00E619C8">
        <w:rPr>
          <w:rFonts w:ascii="Arial" w:eastAsia="Arial" w:hAnsi="Arial" w:cs="Arial"/>
          <w:sz w:val="22"/>
          <w:szCs w:val="22"/>
        </w:rPr>
        <w:t xml:space="preserve"> disclosure standards such as CoST IDS or OC4IDS.</w:t>
      </w:r>
    </w:p>
    <w:p w14:paraId="059888C3" w14:textId="77777777" w:rsidR="0006228A" w:rsidRPr="00E619C8" w:rsidRDefault="00E113EC" w:rsidP="00B21013">
      <w:pPr>
        <w:numPr>
          <w:ilvl w:val="0"/>
          <w:numId w:val="29"/>
        </w:numPr>
        <w:spacing w:before="240" w:line="300" w:lineRule="auto"/>
        <w:ind w:hanging="436"/>
        <w:jc w:val="both"/>
        <w:rPr>
          <w:rFonts w:ascii="Arial" w:eastAsia="Arial" w:hAnsi="Arial" w:cs="Arial"/>
        </w:rPr>
      </w:pPr>
      <w:r w:rsidRPr="00E619C8">
        <w:rPr>
          <w:rFonts w:ascii="Arial" w:eastAsia="Arial" w:hAnsi="Arial" w:cs="Arial"/>
          <w:b/>
          <w:bCs/>
          <w:sz w:val="22"/>
          <w:szCs w:val="22"/>
        </w:rPr>
        <w:t>Quartile analysis reveals a strong concentration of performance among higher-ranked entities.</w:t>
      </w:r>
    </w:p>
    <w:p w14:paraId="51A3E582" w14:textId="684A2D8C" w:rsidR="002033A5" w:rsidRPr="00E619C8" w:rsidRDefault="00E113EC" w:rsidP="00B21013">
      <w:pPr>
        <w:spacing w:line="300" w:lineRule="auto"/>
        <w:ind w:left="720"/>
        <w:jc w:val="both"/>
        <w:rPr>
          <w:rFonts w:ascii="Arial" w:eastAsia="Arial" w:hAnsi="Arial" w:cs="Arial"/>
        </w:rPr>
      </w:pPr>
      <w:r w:rsidRPr="00E619C8">
        <w:rPr>
          <w:rFonts w:ascii="Arial" w:eastAsia="Arial" w:hAnsi="Arial" w:cs="Arial"/>
          <w:sz w:val="22"/>
          <w:szCs w:val="22"/>
        </w:rPr>
        <w:t xml:space="preserve">The average ITI score in Quartile 1 is 52.70, while Quartile 4 averages 21.66. The gap between the highest and lowest quartiles is 31.04 points, </w:t>
      </w:r>
      <w:r w:rsidR="0075618E">
        <w:rPr>
          <w:rFonts w:ascii="Arial" w:eastAsia="Arial" w:hAnsi="Arial" w:cs="Arial"/>
          <w:sz w:val="22"/>
          <w:szCs w:val="22"/>
        </w:rPr>
        <w:t>indicating uneven progress in implementing transparency</w:t>
      </w:r>
      <w:r w:rsidRPr="00E619C8">
        <w:rPr>
          <w:rFonts w:ascii="Arial" w:eastAsia="Arial" w:hAnsi="Arial" w:cs="Arial"/>
          <w:sz w:val="22"/>
          <w:szCs w:val="22"/>
        </w:rPr>
        <w:t xml:space="preserve"> across institutions.</w:t>
      </w:r>
    </w:p>
    <w:p w14:paraId="17A87FED" w14:textId="29480DD1" w:rsidR="002033A5" w:rsidRPr="00E619C8" w:rsidRDefault="00E113EC" w:rsidP="00B21013">
      <w:pPr>
        <w:numPr>
          <w:ilvl w:val="0"/>
          <w:numId w:val="29"/>
        </w:numPr>
        <w:spacing w:before="240" w:line="300" w:lineRule="auto"/>
        <w:ind w:hanging="436"/>
        <w:jc w:val="both"/>
        <w:rPr>
          <w:rFonts w:ascii="Arial" w:eastAsia="Arial" w:hAnsi="Arial" w:cs="Arial"/>
        </w:rPr>
      </w:pPr>
      <w:r w:rsidRPr="00E619C8">
        <w:rPr>
          <w:rFonts w:ascii="Arial" w:eastAsia="Arial" w:hAnsi="Arial" w:cs="Arial"/>
          <w:b/>
          <w:bCs/>
          <w:sz w:val="22"/>
          <w:szCs w:val="22"/>
        </w:rPr>
        <w:t xml:space="preserve">At the project level, all </w:t>
      </w:r>
      <w:r w:rsidR="00615F13" w:rsidRPr="00E619C8">
        <w:rPr>
          <w:rFonts w:ascii="Arial" w:eastAsia="Arial" w:hAnsi="Arial" w:cs="Arial"/>
          <w:b/>
          <w:bCs/>
          <w:sz w:val="22"/>
          <w:szCs w:val="22"/>
        </w:rPr>
        <w:t>32</w:t>
      </w:r>
      <w:r w:rsidRPr="00E619C8">
        <w:rPr>
          <w:rFonts w:ascii="Arial" w:eastAsia="Arial" w:hAnsi="Arial" w:cs="Arial"/>
          <w:b/>
          <w:bCs/>
          <w:sz w:val="22"/>
          <w:szCs w:val="22"/>
        </w:rPr>
        <w:t xml:space="preserve"> infrastructure projects obtained </w:t>
      </w:r>
      <w:r w:rsidR="007E14A6" w:rsidRPr="00E619C8">
        <w:rPr>
          <w:rFonts w:ascii="Arial" w:eastAsia="Arial" w:hAnsi="Arial" w:cs="Arial"/>
          <w:b/>
          <w:bCs/>
          <w:sz w:val="22"/>
          <w:szCs w:val="22"/>
        </w:rPr>
        <w:t>some level of progress</w:t>
      </w:r>
      <w:r w:rsidRPr="00E619C8">
        <w:rPr>
          <w:rFonts w:ascii="Arial" w:eastAsia="Arial" w:hAnsi="Arial" w:cs="Arial"/>
          <w:b/>
          <w:bCs/>
          <w:sz w:val="22"/>
          <w:szCs w:val="22"/>
        </w:rPr>
        <w:t>.</w:t>
      </w:r>
      <w:r w:rsidRPr="00E619C8">
        <w:rPr>
          <w:rFonts w:ascii="Arial" w:eastAsia="Arial" w:hAnsi="Arial" w:cs="Arial"/>
          <w:sz w:val="22"/>
          <w:szCs w:val="22"/>
        </w:rPr>
        <w:br/>
        <w:t>The highest project score is 40.70</w:t>
      </w:r>
      <w:r w:rsidR="0075618E">
        <w:rPr>
          <w:rFonts w:ascii="Arial" w:eastAsia="Arial" w:hAnsi="Arial" w:cs="Arial"/>
          <w:sz w:val="22"/>
          <w:szCs w:val="22"/>
        </w:rPr>
        <w:t>,</w:t>
      </w:r>
      <w:r w:rsidRPr="00E619C8">
        <w:rPr>
          <w:rFonts w:ascii="Arial" w:eastAsia="Arial" w:hAnsi="Arial" w:cs="Arial"/>
          <w:sz w:val="22"/>
          <w:szCs w:val="22"/>
        </w:rPr>
        <w:t xml:space="preserve"> and the lowest is 24.10, producing a gap of 16.60 points. Compared to the institutional gap (38.37 points), project-level performance is less </w:t>
      </w:r>
      <w:r w:rsidR="0075618E">
        <w:rPr>
          <w:rFonts w:ascii="Arial" w:eastAsia="Arial" w:hAnsi="Arial" w:cs="Arial"/>
          <w:sz w:val="22"/>
          <w:szCs w:val="22"/>
        </w:rPr>
        <w:t>polarised, suggesting that project governance may be moderated by standardised procedures, regulatory frameworks, and/or centralised</w:t>
      </w:r>
      <w:r w:rsidR="007E14A6" w:rsidRPr="00E619C8">
        <w:rPr>
          <w:rFonts w:ascii="Arial" w:eastAsia="Arial" w:hAnsi="Arial" w:cs="Arial"/>
          <w:sz w:val="22"/>
          <w:szCs w:val="22"/>
        </w:rPr>
        <w:t xml:space="preserve"> information disclosure platforms</w:t>
      </w:r>
      <w:r w:rsidRPr="00E619C8">
        <w:rPr>
          <w:rFonts w:ascii="Arial" w:eastAsia="Arial" w:hAnsi="Arial" w:cs="Arial"/>
          <w:sz w:val="22"/>
          <w:szCs w:val="22"/>
        </w:rPr>
        <w:t>.</w:t>
      </w:r>
    </w:p>
    <w:p w14:paraId="4972D374" w14:textId="77777777" w:rsidR="0006228A" w:rsidRPr="00E619C8" w:rsidRDefault="00E113EC" w:rsidP="00B21013">
      <w:pPr>
        <w:numPr>
          <w:ilvl w:val="0"/>
          <w:numId w:val="29"/>
        </w:numPr>
        <w:spacing w:before="240" w:line="300" w:lineRule="auto"/>
        <w:ind w:hanging="436"/>
        <w:jc w:val="both"/>
        <w:rPr>
          <w:rFonts w:ascii="Arial" w:eastAsia="Arial" w:hAnsi="Arial" w:cs="Arial"/>
        </w:rPr>
      </w:pPr>
      <w:r w:rsidRPr="00E619C8">
        <w:rPr>
          <w:rFonts w:ascii="Arial" w:eastAsia="Arial" w:hAnsi="Arial" w:cs="Arial"/>
          <w:b/>
          <w:bCs/>
          <w:sz w:val="22"/>
          <w:szCs w:val="22"/>
        </w:rPr>
        <w:t>Project quartile analysis shows moderate dispersion.</w:t>
      </w:r>
    </w:p>
    <w:p w14:paraId="36405674" w14:textId="1E3A15D6" w:rsidR="002033A5" w:rsidRPr="00E619C8" w:rsidRDefault="00E113EC" w:rsidP="00B21013">
      <w:pPr>
        <w:spacing w:line="300" w:lineRule="auto"/>
        <w:ind w:left="720"/>
        <w:jc w:val="both"/>
        <w:rPr>
          <w:rFonts w:ascii="Arial" w:eastAsia="Arial" w:hAnsi="Arial" w:cs="Arial"/>
        </w:rPr>
      </w:pPr>
      <w:r w:rsidRPr="00E619C8">
        <w:rPr>
          <w:rFonts w:ascii="Arial" w:eastAsia="Arial" w:hAnsi="Arial" w:cs="Arial"/>
          <w:sz w:val="22"/>
          <w:szCs w:val="22"/>
        </w:rPr>
        <w:t>Quartile 1 projects average 34.54, while Quartile 4 projects average 26.35, resulting in a gap of 8.19 points. The relatively small difference between Quartile 2 (29.58) and Quartile 3 (28.96) suggests that many projects cluster within a similar mid-range performance level.</w:t>
      </w:r>
    </w:p>
    <w:p w14:paraId="003F9104" w14:textId="67FB8228" w:rsidR="0006228A" w:rsidRPr="00E619C8" w:rsidRDefault="00E113EC" w:rsidP="00B21013">
      <w:pPr>
        <w:numPr>
          <w:ilvl w:val="0"/>
          <w:numId w:val="29"/>
        </w:numPr>
        <w:spacing w:before="240" w:line="300" w:lineRule="auto"/>
        <w:ind w:hanging="436"/>
        <w:jc w:val="both"/>
        <w:rPr>
          <w:rFonts w:ascii="Arial" w:eastAsia="Arial" w:hAnsi="Arial" w:cs="Arial"/>
        </w:rPr>
      </w:pPr>
      <w:r w:rsidRPr="00E619C8">
        <w:rPr>
          <w:rFonts w:ascii="Arial" w:eastAsia="Arial" w:hAnsi="Arial" w:cs="Arial"/>
          <w:b/>
          <w:bCs/>
          <w:sz w:val="22"/>
          <w:szCs w:val="22"/>
        </w:rPr>
        <w:t xml:space="preserve">Budget size does not significantly influence transparency performance at either </w:t>
      </w:r>
      <w:r w:rsidR="0075618E">
        <w:rPr>
          <w:rFonts w:ascii="Arial" w:eastAsia="Arial" w:hAnsi="Arial" w:cs="Arial"/>
          <w:b/>
          <w:bCs/>
          <w:sz w:val="22"/>
          <w:szCs w:val="22"/>
        </w:rPr>
        <w:t xml:space="preserve">the </w:t>
      </w:r>
      <w:r w:rsidRPr="00E619C8">
        <w:rPr>
          <w:rFonts w:ascii="Arial" w:eastAsia="Arial" w:hAnsi="Arial" w:cs="Arial"/>
          <w:b/>
          <w:bCs/>
          <w:sz w:val="22"/>
          <w:szCs w:val="22"/>
        </w:rPr>
        <w:t>institutional or project level.</w:t>
      </w:r>
    </w:p>
    <w:p w14:paraId="5D417230" w14:textId="43D01FF5" w:rsidR="002033A5" w:rsidRPr="00E619C8" w:rsidRDefault="00E113EC" w:rsidP="00B21013">
      <w:pPr>
        <w:spacing w:line="300" w:lineRule="auto"/>
        <w:ind w:left="720"/>
        <w:jc w:val="both"/>
        <w:rPr>
          <w:rFonts w:ascii="Arial" w:eastAsia="Arial" w:hAnsi="Arial" w:cs="Arial"/>
        </w:rPr>
      </w:pPr>
      <w:r w:rsidRPr="00E619C8">
        <w:rPr>
          <w:rFonts w:ascii="Arial" w:eastAsia="Arial" w:hAnsi="Arial" w:cs="Arial"/>
          <w:sz w:val="22"/>
          <w:szCs w:val="22"/>
        </w:rPr>
        <w:t>At the PE level, medium-budget entities achieved the highest average ITI score (45.37), followed by high-budget (36.68) and low-budget (32.45).</w:t>
      </w:r>
      <w:r w:rsidRPr="00E619C8">
        <w:rPr>
          <w:rFonts w:ascii="Arial" w:eastAsia="Arial" w:hAnsi="Arial" w:cs="Arial"/>
          <w:sz w:val="22"/>
          <w:szCs w:val="22"/>
        </w:rPr>
        <w:br/>
        <w:t xml:space="preserve"> At the project level, the difference between the highest and lowest budget category averages is only 1.28 points, </w:t>
      </w:r>
      <w:r w:rsidR="0075618E">
        <w:rPr>
          <w:rFonts w:ascii="Arial" w:eastAsia="Arial" w:hAnsi="Arial" w:cs="Arial"/>
          <w:sz w:val="22"/>
          <w:szCs w:val="22"/>
        </w:rPr>
        <w:t>indicating no</w:t>
      </w:r>
      <w:r w:rsidRPr="00E619C8">
        <w:rPr>
          <w:rFonts w:ascii="Arial" w:eastAsia="Arial" w:hAnsi="Arial" w:cs="Arial"/>
          <w:sz w:val="22"/>
          <w:szCs w:val="22"/>
        </w:rPr>
        <w:t xml:space="preserve"> strong relationship between financial magnitude and governance quality.</w:t>
      </w:r>
    </w:p>
    <w:p w14:paraId="32C6714E" w14:textId="0AA10C07" w:rsidR="002033A5" w:rsidRPr="00E619C8" w:rsidRDefault="00E113EC" w:rsidP="00B21013">
      <w:pPr>
        <w:numPr>
          <w:ilvl w:val="0"/>
          <w:numId w:val="29"/>
        </w:numPr>
        <w:spacing w:before="240" w:line="300" w:lineRule="auto"/>
        <w:ind w:hanging="436"/>
        <w:jc w:val="both"/>
        <w:rPr>
          <w:rFonts w:ascii="Arial" w:eastAsia="Arial" w:hAnsi="Arial" w:cs="Arial"/>
        </w:rPr>
      </w:pPr>
      <w:r w:rsidRPr="00E619C8">
        <w:rPr>
          <w:rFonts w:ascii="Arial" w:eastAsia="Arial" w:hAnsi="Arial" w:cs="Arial"/>
          <w:b/>
          <w:bCs/>
          <w:sz w:val="22"/>
          <w:szCs w:val="22"/>
        </w:rPr>
        <w:t>Transparency performance varies across institutional types and sectors.</w:t>
      </w:r>
      <w:r w:rsidRPr="00E619C8">
        <w:rPr>
          <w:rFonts w:ascii="Arial" w:eastAsia="Arial" w:hAnsi="Arial" w:cs="Arial"/>
          <w:sz w:val="22"/>
          <w:szCs w:val="22"/>
        </w:rPr>
        <w:br/>
      </w:r>
      <w:r w:rsidR="00824921" w:rsidRPr="00E619C8">
        <w:rPr>
          <w:rFonts w:ascii="Arial" w:eastAsia="Arial" w:hAnsi="Arial" w:cs="Arial"/>
          <w:sz w:val="22"/>
          <w:szCs w:val="22"/>
        </w:rPr>
        <w:t xml:space="preserve">Revenue and Financial Agencies achieved the highest average ITI score (42.38), although this value remains below the 50-point benchmark, indicating that performance across all institutional types is generally low. Legislative Institutions recorded the lowest average score (23.78). By </w:t>
      </w:r>
      <w:r w:rsidR="0075618E">
        <w:rPr>
          <w:rFonts w:ascii="Arial" w:eastAsia="Arial" w:hAnsi="Arial" w:cs="Arial"/>
          <w:sz w:val="22"/>
          <w:szCs w:val="22"/>
        </w:rPr>
        <w:t>sector, Housing and Education show relatively higher scores in the dataset, while Transport and Health record lower average performance</w:t>
      </w:r>
      <w:r w:rsidR="00824921" w:rsidRPr="00E619C8">
        <w:rPr>
          <w:rFonts w:ascii="Arial" w:eastAsia="Arial" w:hAnsi="Arial" w:cs="Arial"/>
          <w:sz w:val="22"/>
          <w:szCs w:val="22"/>
        </w:rPr>
        <w:t>.</w:t>
      </w:r>
    </w:p>
    <w:p w14:paraId="38E6410D" w14:textId="77777777" w:rsidR="0006228A" w:rsidRPr="00E619C8" w:rsidRDefault="00E113EC" w:rsidP="00B21013">
      <w:pPr>
        <w:numPr>
          <w:ilvl w:val="0"/>
          <w:numId w:val="29"/>
        </w:numPr>
        <w:spacing w:before="240" w:line="300" w:lineRule="auto"/>
        <w:ind w:hanging="436"/>
        <w:jc w:val="both"/>
        <w:rPr>
          <w:rFonts w:ascii="Arial" w:eastAsia="Arial" w:hAnsi="Arial" w:cs="Arial"/>
        </w:rPr>
      </w:pPr>
      <w:r w:rsidRPr="00E619C8">
        <w:rPr>
          <w:rFonts w:ascii="Arial" w:eastAsia="Arial" w:hAnsi="Arial" w:cs="Arial"/>
          <w:b/>
          <w:bCs/>
          <w:sz w:val="22"/>
          <w:szCs w:val="22"/>
        </w:rPr>
        <w:t>No evidence was found of a fully integrated infrastructure transparency portal covering the entire project cycle</w:t>
      </w:r>
      <w:r w:rsidR="0006228A" w:rsidRPr="00E619C8">
        <w:rPr>
          <w:rFonts w:ascii="Arial" w:eastAsia="Arial" w:hAnsi="Arial" w:cs="Arial"/>
          <w:b/>
          <w:bCs/>
          <w:sz w:val="22"/>
          <w:szCs w:val="22"/>
        </w:rPr>
        <w:t>.</w:t>
      </w:r>
    </w:p>
    <w:p w14:paraId="01F59D53" w14:textId="21FA4BDA" w:rsidR="002033A5" w:rsidRPr="00E619C8" w:rsidRDefault="00824921" w:rsidP="00824921">
      <w:pPr>
        <w:spacing w:line="300" w:lineRule="auto"/>
        <w:ind w:left="720"/>
        <w:jc w:val="both"/>
        <w:rPr>
          <w:rFonts w:ascii="Arial" w:eastAsia="Arial" w:hAnsi="Arial" w:cs="Arial"/>
        </w:rPr>
      </w:pPr>
      <w:r w:rsidRPr="00E619C8">
        <w:rPr>
          <w:rFonts w:ascii="Arial" w:eastAsia="Arial" w:hAnsi="Arial" w:cs="Arial"/>
          <w:sz w:val="22"/>
          <w:szCs w:val="22"/>
        </w:rPr>
        <w:t>Although the Infrastructure Transparency Initiative of Nusa Tenggara Barat (INTRAs) represents an important step toward improving infrastructure transparency at the regional level, the findings of this study indicate that it does not yet function as a fully integrated platform covering the entire project cycle. Transparency remains fragmented, with publicly available information still concentrated mainly at the procurement stage, while other stages of the project cycle are less systematically disclosed.</w:t>
      </w:r>
    </w:p>
    <w:p w14:paraId="7C7B153C" w14:textId="77777777" w:rsidR="0006228A" w:rsidRPr="00E619C8" w:rsidRDefault="00E113EC" w:rsidP="00B21013">
      <w:pPr>
        <w:numPr>
          <w:ilvl w:val="0"/>
          <w:numId w:val="29"/>
        </w:numPr>
        <w:spacing w:before="240" w:line="300" w:lineRule="auto"/>
        <w:ind w:hanging="436"/>
        <w:jc w:val="both"/>
        <w:rPr>
          <w:rFonts w:ascii="Arial" w:eastAsia="Arial" w:hAnsi="Arial" w:cs="Arial"/>
        </w:rPr>
      </w:pPr>
      <w:r w:rsidRPr="00E619C8">
        <w:rPr>
          <w:rFonts w:ascii="Arial" w:eastAsia="Arial" w:hAnsi="Arial" w:cs="Arial"/>
          <w:b/>
          <w:bCs/>
          <w:sz w:val="22"/>
          <w:szCs w:val="22"/>
        </w:rPr>
        <w:t>There is no indication of dedicated staff specifically assigned to manage infrastructure transparency and information requests.</w:t>
      </w:r>
    </w:p>
    <w:p w14:paraId="46A1206A" w14:textId="224BA33A" w:rsidR="002033A5" w:rsidRPr="00E619C8" w:rsidRDefault="00E113EC" w:rsidP="00B21013">
      <w:pPr>
        <w:spacing w:line="300" w:lineRule="auto"/>
        <w:ind w:left="720"/>
        <w:jc w:val="both"/>
        <w:rPr>
          <w:rFonts w:ascii="Arial" w:eastAsia="Arial" w:hAnsi="Arial" w:cs="Arial"/>
        </w:rPr>
      </w:pPr>
      <w:r w:rsidRPr="00E619C8">
        <w:rPr>
          <w:rFonts w:ascii="Arial" w:eastAsia="Arial" w:hAnsi="Arial" w:cs="Arial"/>
          <w:sz w:val="22"/>
          <w:szCs w:val="22"/>
        </w:rPr>
        <w:t xml:space="preserve">The absence of </w:t>
      </w:r>
      <w:r w:rsidR="0075618E">
        <w:rPr>
          <w:rFonts w:ascii="Arial" w:eastAsia="Arial" w:hAnsi="Arial" w:cs="Arial"/>
          <w:sz w:val="22"/>
          <w:szCs w:val="22"/>
        </w:rPr>
        <w:t>specialised</w:t>
      </w:r>
      <w:r w:rsidRPr="00E619C8">
        <w:rPr>
          <w:rFonts w:ascii="Arial" w:eastAsia="Arial" w:hAnsi="Arial" w:cs="Arial"/>
          <w:sz w:val="22"/>
          <w:szCs w:val="22"/>
        </w:rPr>
        <w:t xml:space="preserve"> information management roles may contribute to inconsistencies in disclosure practices and updating procedures.</w:t>
      </w:r>
    </w:p>
    <w:p w14:paraId="2E65633E" w14:textId="70302ABD" w:rsidR="002033A5" w:rsidRPr="00E619C8" w:rsidRDefault="00E113EC" w:rsidP="00B21013">
      <w:pPr>
        <w:numPr>
          <w:ilvl w:val="0"/>
          <w:numId w:val="29"/>
        </w:numPr>
        <w:spacing w:before="240" w:line="300" w:lineRule="auto"/>
        <w:ind w:hanging="436"/>
        <w:jc w:val="both"/>
        <w:rPr>
          <w:rFonts w:ascii="Arial" w:eastAsia="Arial" w:hAnsi="Arial" w:cs="Arial"/>
        </w:rPr>
      </w:pPr>
      <w:r w:rsidRPr="00E619C8">
        <w:rPr>
          <w:rFonts w:ascii="Arial" w:eastAsia="Arial" w:hAnsi="Arial" w:cs="Arial"/>
          <w:b/>
          <w:bCs/>
          <w:sz w:val="22"/>
          <w:szCs w:val="22"/>
        </w:rPr>
        <w:t>Overall, the findings indicate that while minimum transparency standards are present across all entities and projects, significant institutional disparities remain.</w:t>
      </w:r>
      <w:r w:rsidRPr="00E619C8">
        <w:rPr>
          <w:rFonts w:ascii="Arial" w:eastAsia="Arial" w:hAnsi="Arial" w:cs="Arial"/>
          <w:sz w:val="22"/>
          <w:szCs w:val="22"/>
        </w:rPr>
        <w:br/>
        <w:t xml:space="preserve">The wider gap at the institutional level </w:t>
      </w:r>
      <w:r w:rsidR="00D473B6">
        <w:rPr>
          <w:rFonts w:ascii="Arial" w:eastAsia="Arial" w:hAnsi="Arial" w:cs="Arial"/>
          <w:sz w:val="22"/>
          <w:szCs w:val="22"/>
        </w:rPr>
        <w:t xml:space="preserve">than at the project level suggests that governance capacity differences are more structural than project-specific, and that </w:t>
      </w:r>
      <w:r w:rsidRPr="00E619C8">
        <w:rPr>
          <w:rFonts w:ascii="Arial" w:eastAsia="Arial" w:hAnsi="Arial" w:cs="Arial"/>
          <w:sz w:val="22"/>
          <w:szCs w:val="22"/>
        </w:rPr>
        <w:t>sustained institutional strengthening is required to achieve more balanced transparency performance.</w:t>
      </w:r>
    </w:p>
    <w:p w14:paraId="029D1F1D" w14:textId="77777777" w:rsidR="002033A5" w:rsidRPr="00E619C8" w:rsidRDefault="002033A5">
      <w:pPr>
        <w:pBdr>
          <w:top w:val="nil"/>
          <w:left w:val="nil"/>
          <w:bottom w:val="nil"/>
          <w:right w:val="nil"/>
          <w:between w:val="nil"/>
        </w:pBdr>
        <w:spacing w:after="160" w:line="300" w:lineRule="auto"/>
        <w:jc w:val="both"/>
        <w:rPr>
          <w:rFonts w:ascii="Arial" w:eastAsia="Arial" w:hAnsi="Arial" w:cs="Arial"/>
          <w:sz w:val="22"/>
          <w:szCs w:val="22"/>
        </w:rPr>
      </w:pPr>
    </w:p>
    <w:p w14:paraId="60BF49FD" w14:textId="77777777" w:rsidR="002033A5" w:rsidRPr="00E619C8" w:rsidRDefault="00E113EC">
      <w:pPr>
        <w:pBdr>
          <w:top w:val="nil"/>
          <w:left w:val="nil"/>
          <w:bottom w:val="nil"/>
          <w:right w:val="nil"/>
          <w:between w:val="nil"/>
        </w:pBdr>
        <w:spacing w:after="160" w:line="300" w:lineRule="auto"/>
        <w:jc w:val="both"/>
        <w:rPr>
          <w:rFonts w:ascii="Arial" w:eastAsia="Arial" w:hAnsi="Arial" w:cs="Arial"/>
          <w:color w:val="000000"/>
          <w:sz w:val="22"/>
          <w:szCs w:val="22"/>
        </w:rPr>
      </w:pPr>
      <w:r w:rsidRPr="00E619C8">
        <w:br w:type="page"/>
      </w:r>
    </w:p>
    <w:p w14:paraId="2586606E" w14:textId="77777777" w:rsidR="002033A5" w:rsidRPr="00E619C8" w:rsidRDefault="00E113EC">
      <w:pPr>
        <w:pStyle w:val="Heading1"/>
        <w:pBdr>
          <w:top w:val="nil"/>
          <w:left w:val="nil"/>
          <w:bottom w:val="nil"/>
          <w:right w:val="nil"/>
          <w:between w:val="nil"/>
        </w:pBdr>
        <w:spacing w:before="120" w:after="240" w:line="276" w:lineRule="auto"/>
        <w:rPr>
          <w:rFonts w:ascii="Arial" w:eastAsia="Arial" w:hAnsi="Arial" w:cs="Arial"/>
          <w:sz w:val="22"/>
          <w:szCs w:val="22"/>
        </w:rPr>
      </w:pPr>
      <w:bookmarkStart w:id="36" w:name="_Toc227235263"/>
      <w:r w:rsidRPr="00E619C8">
        <w:rPr>
          <w:rFonts w:ascii="Arial" w:eastAsia="Arial" w:hAnsi="Arial" w:cs="Arial"/>
          <w:b/>
          <w:bCs/>
          <w:color w:val="C00000"/>
          <w:sz w:val="48"/>
          <w:szCs w:val="48"/>
        </w:rPr>
        <w:t>Recommendations</w:t>
      </w:r>
      <w:bookmarkEnd w:id="36"/>
      <w:r w:rsidRPr="00E619C8">
        <w:rPr>
          <w:rFonts w:ascii="Arial" w:eastAsia="Arial" w:hAnsi="Arial" w:cs="Arial"/>
          <w:sz w:val="22"/>
          <w:szCs w:val="22"/>
        </w:rPr>
        <w:t xml:space="preserve"> </w:t>
      </w:r>
    </w:p>
    <w:p w14:paraId="560CA2AD" w14:textId="5307D94F" w:rsidR="00FA0F94" w:rsidRPr="00E619C8" w:rsidRDefault="00FA0F94" w:rsidP="006675DF">
      <w:pPr>
        <w:spacing w:before="240" w:after="240" w:line="300" w:lineRule="auto"/>
        <w:jc w:val="both"/>
        <w:rPr>
          <w:rFonts w:ascii="Arial" w:eastAsia="Arial" w:hAnsi="Arial" w:cs="Arial"/>
          <w:sz w:val="22"/>
          <w:szCs w:val="22"/>
        </w:rPr>
      </w:pPr>
      <w:r w:rsidRPr="00E619C8">
        <w:rPr>
          <w:rFonts w:ascii="Arial" w:eastAsia="Arial" w:hAnsi="Arial" w:cs="Arial"/>
          <w:sz w:val="22"/>
          <w:szCs w:val="22"/>
        </w:rPr>
        <w:t xml:space="preserve">Based on the ITI findings, particularly the relatively stronger enabling environment and the weaker performance in citizen participation and information disclosure, the following recommendations are proposed to strengthen infrastructure transparency in NTB. </w:t>
      </w:r>
    </w:p>
    <w:p w14:paraId="788961B7" w14:textId="3F7EE879" w:rsidR="00F152E2" w:rsidRPr="00D473B6" w:rsidRDefault="00F152E2" w:rsidP="00F152E2">
      <w:pPr>
        <w:numPr>
          <w:ilvl w:val="0"/>
          <w:numId w:val="10"/>
        </w:numPr>
        <w:spacing w:line="300" w:lineRule="auto"/>
        <w:ind w:hanging="436"/>
        <w:jc w:val="both"/>
        <w:rPr>
          <w:rFonts w:ascii="Arial" w:eastAsia="Arial" w:hAnsi="Arial" w:cs="Arial"/>
          <w:sz w:val="22"/>
          <w:szCs w:val="22"/>
        </w:rPr>
      </w:pPr>
      <w:r w:rsidRPr="00D473B6">
        <w:rPr>
          <w:rFonts w:ascii="Arial" w:eastAsia="Arial" w:hAnsi="Arial" w:cs="Arial"/>
          <w:b/>
          <w:bCs/>
          <w:sz w:val="22"/>
          <w:szCs w:val="22"/>
        </w:rPr>
        <w:t>Develop and enact a Governor Regulation on public infrastructure data publication.</w:t>
      </w:r>
    </w:p>
    <w:p w14:paraId="71FBE467" w14:textId="3252DE04" w:rsidR="00F152E2" w:rsidRPr="00D473B6" w:rsidRDefault="00F152E2" w:rsidP="00F152E2">
      <w:pPr>
        <w:spacing w:line="300" w:lineRule="auto"/>
        <w:ind w:left="720"/>
        <w:jc w:val="both"/>
        <w:rPr>
          <w:rFonts w:ascii="Arial" w:eastAsia="Arial" w:hAnsi="Arial" w:cs="Arial"/>
          <w:sz w:val="22"/>
          <w:szCs w:val="22"/>
        </w:rPr>
      </w:pPr>
      <w:r w:rsidRPr="00D473B6">
        <w:rPr>
          <w:rFonts w:ascii="Arial" w:eastAsia="Arial" w:hAnsi="Arial" w:cs="Arial"/>
          <w:sz w:val="22"/>
          <w:szCs w:val="22"/>
        </w:rPr>
        <w:t>This regulation should establish a comprehensive</w:t>
      </w:r>
      <w:r w:rsidR="00D473B6" w:rsidRPr="00D473B6">
        <w:rPr>
          <w:rFonts w:ascii="Arial" w:eastAsia="Arial" w:hAnsi="Arial" w:cs="Arial"/>
          <w:sz w:val="22"/>
          <w:szCs w:val="22"/>
        </w:rPr>
        <w:t xml:space="preserve">, mandatory framework for all Procuring Entities (PEs) to publish infrastructure project data throughout the </w:t>
      </w:r>
      <w:r w:rsidRPr="00D473B6">
        <w:rPr>
          <w:rFonts w:ascii="Arial" w:eastAsia="Arial" w:hAnsi="Arial" w:cs="Arial"/>
          <w:sz w:val="22"/>
          <w:szCs w:val="22"/>
        </w:rPr>
        <w:t>project lifecycle. It should define minimum data standards aligned with CoST IDS/OC4IDS, set clear requirements for timely and regular data publication, and mandate the use of platforms such as INTRAS as the central publication system. The regulation should also assign clear institutional responsibilities within each PE, including the designation of dedicated personnel for data management and reporting, to ensure consistency, accountability, and sustainability of transparency practices across the province.</w:t>
      </w:r>
    </w:p>
    <w:p w14:paraId="4AB493F0" w14:textId="52AA3A8E" w:rsidR="006675DF" w:rsidRPr="00D473B6" w:rsidRDefault="00A73133" w:rsidP="006675DF">
      <w:pPr>
        <w:numPr>
          <w:ilvl w:val="0"/>
          <w:numId w:val="10"/>
        </w:numPr>
        <w:spacing w:before="240" w:line="300" w:lineRule="auto"/>
        <w:ind w:hanging="436"/>
        <w:jc w:val="both"/>
        <w:rPr>
          <w:rFonts w:ascii="Arial" w:eastAsia="Arial" w:hAnsi="Arial" w:cs="Arial"/>
          <w:sz w:val="22"/>
          <w:szCs w:val="22"/>
        </w:rPr>
      </w:pPr>
      <w:r>
        <w:rPr>
          <w:rFonts w:ascii="Arial" w:eastAsia="Arial" w:hAnsi="Arial" w:cs="Arial"/>
          <w:b/>
          <w:bCs/>
          <w:sz w:val="22"/>
          <w:szCs w:val="22"/>
        </w:rPr>
        <w:t>Strengthen</w:t>
      </w:r>
      <w:r w:rsidR="00E113EC" w:rsidRPr="00D473B6">
        <w:rPr>
          <w:rFonts w:ascii="Arial" w:eastAsia="Arial" w:hAnsi="Arial" w:cs="Arial"/>
          <w:b/>
          <w:bCs/>
          <w:sz w:val="22"/>
          <w:szCs w:val="22"/>
        </w:rPr>
        <w:t xml:space="preserve"> the capacity of appointed Information Officers</w:t>
      </w:r>
      <w:r w:rsidR="00E113EC" w:rsidRPr="00D473B6">
        <w:rPr>
          <w:rFonts w:ascii="Arial" w:eastAsia="Arial" w:hAnsi="Arial" w:cs="Arial"/>
          <w:sz w:val="22"/>
          <w:szCs w:val="22"/>
        </w:rPr>
        <w:t>.</w:t>
      </w:r>
      <w:r w:rsidR="006675DF" w:rsidRPr="00D473B6">
        <w:rPr>
          <w:rFonts w:ascii="Arial" w:eastAsia="Arial" w:hAnsi="Arial" w:cs="Arial"/>
          <w:sz w:val="22"/>
          <w:szCs w:val="22"/>
        </w:rPr>
        <w:t xml:space="preserve"> </w:t>
      </w:r>
    </w:p>
    <w:p w14:paraId="1996995F" w14:textId="5E0C7CBD" w:rsidR="002033A5" w:rsidRPr="00D473B6" w:rsidRDefault="00F152E2" w:rsidP="006675DF">
      <w:pPr>
        <w:spacing w:line="300" w:lineRule="auto"/>
        <w:ind w:left="720"/>
        <w:jc w:val="both"/>
        <w:rPr>
          <w:rFonts w:ascii="Arial" w:eastAsia="Arial" w:hAnsi="Arial" w:cs="Arial"/>
          <w:sz w:val="22"/>
          <w:szCs w:val="22"/>
        </w:rPr>
      </w:pPr>
      <w:r w:rsidRPr="00D473B6">
        <w:rPr>
          <w:rFonts w:ascii="Arial" w:eastAsia="Arial" w:hAnsi="Arial" w:cs="Arial"/>
          <w:sz w:val="22"/>
          <w:szCs w:val="22"/>
        </w:rPr>
        <w:t xml:space="preserve">Targeted training programs should be conducted to improve knowledge on infrastructure data publication standards (such as CoST IDS or OC4IDS), public information laws, and applicable sanctions for non-compliance. In addition, specific training on </w:t>
      </w:r>
      <w:r w:rsidR="00A73133">
        <w:rPr>
          <w:rFonts w:ascii="Arial" w:eastAsia="Arial" w:hAnsi="Arial" w:cs="Arial"/>
          <w:sz w:val="22"/>
          <w:szCs w:val="22"/>
        </w:rPr>
        <w:t>using the INTRAS platform should be provided to ensure that Information Officers can</w:t>
      </w:r>
      <w:r w:rsidRPr="00D473B6">
        <w:rPr>
          <w:rFonts w:ascii="Arial" w:eastAsia="Arial" w:hAnsi="Arial" w:cs="Arial"/>
          <w:sz w:val="22"/>
          <w:szCs w:val="22"/>
        </w:rPr>
        <w:t xml:space="preserve"> effectively input, manage, and update project data. These capacity-building initiatives will help ensure consistency, accuracy, and compliance in </w:t>
      </w:r>
      <w:r w:rsidR="006259D7">
        <w:rPr>
          <w:rFonts w:ascii="Arial" w:eastAsia="Arial" w:hAnsi="Arial" w:cs="Arial"/>
          <w:sz w:val="22"/>
          <w:szCs w:val="22"/>
        </w:rPr>
        <w:t xml:space="preserve">the publication of infrastructure data </w:t>
      </w:r>
      <w:r w:rsidRPr="00D473B6">
        <w:rPr>
          <w:rFonts w:ascii="Arial" w:eastAsia="Arial" w:hAnsi="Arial" w:cs="Arial"/>
          <w:sz w:val="22"/>
          <w:szCs w:val="22"/>
        </w:rPr>
        <w:t>across all Procuring Entities.</w:t>
      </w:r>
    </w:p>
    <w:p w14:paraId="21A0AC10" w14:textId="7C4B28B3" w:rsidR="006675DF" w:rsidRPr="00D473B6" w:rsidRDefault="006259D7" w:rsidP="006675DF">
      <w:pPr>
        <w:numPr>
          <w:ilvl w:val="0"/>
          <w:numId w:val="10"/>
        </w:numPr>
        <w:spacing w:before="240" w:line="300" w:lineRule="auto"/>
        <w:ind w:hanging="436"/>
        <w:jc w:val="both"/>
        <w:rPr>
          <w:rFonts w:ascii="Arial" w:eastAsia="Arial" w:hAnsi="Arial" w:cs="Arial"/>
          <w:sz w:val="22"/>
          <w:szCs w:val="22"/>
        </w:rPr>
      </w:pPr>
      <w:r>
        <w:rPr>
          <w:rFonts w:ascii="Arial" w:eastAsia="Arial" w:hAnsi="Arial" w:cs="Arial"/>
          <w:b/>
          <w:bCs/>
          <w:sz w:val="22"/>
          <w:szCs w:val="22"/>
        </w:rPr>
        <w:t>Institutionalise</w:t>
      </w:r>
      <w:r w:rsidR="00E113EC" w:rsidRPr="00D473B6">
        <w:rPr>
          <w:rFonts w:ascii="Arial" w:eastAsia="Arial" w:hAnsi="Arial" w:cs="Arial"/>
          <w:b/>
          <w:bCs/>
          <w:sz w:val="22"/>
          <w:szCs w:val="22"/>
        </w:rPr>
        <w:t xml:space="preserve"> public consultations for all infrastructure projects.</w:t>
      </w:r>
      <w:r w:rsidR="006675DF" w:rsidRPr="00D473B6">
        <w:rPr>
          <w:rFonts w:ascii="Arial" w:eastAsia="Arial" w:hAnsi="Arial" w:cs="Arial"/>
          <w:sz w:val="22"/>
          <w:szCs w:val="22"/>
        </w:rPr>
        <w:t xml:space="preserve"> </w:t>
      </w:r>
    </w:p>
    <w:p w14:paraId="4186A3DC" w14:textId="1259FF37" w:rsidR="002033A5" w:rsidRPr="00D473B6" w:rsidRDefault="00E113EC" w:rsidP="006675DF">
      <w:pPr>
        <w:spacing w:line="300" w:lineRule="auto"/>
        <w:ind w:left="720"/>
        <w:jc w:val="both"/>
        <w:rPr>
          <w:rFonts w:ascii="Arial" w:eastAsia="Arial" w:hAnsi="Arial" w:cs="Arial"/>
          <w:sz w:val="22"/>
          <w:szCs w:val="22"/>
        </w:rPr>
      </w:pPr>
      <w:r w:rsidRPr="00D473B6">
        <w:rPr>
          <w:rFonts w:ascii="Arial" w:eastAsia="Arial" w:hAnsi="Arial" w:cs="Arial"/>
          <w:sz w:val="22"/>
          <w:szCs w:val="22"/>
        </w:rPr>
        <w:t>Public consultation mechanisms should be mandatory at key stages of the project cycle. Information Officers should be involved to ensure proper documentation, archiving, and publication of consultation outcomes.</w:t>
      </w:r>
    </w:p>
    <w:p w14:paraId="40B9CE9D" w14:textId="77777777" w:rsidR="006675DF" w:rsidRPr="00D473B6" w:rsidRDefault="00E113EC" w:rsidP="006675DF">
      <w:pPr>
        <w:numPr>
          <w:ilvl w:val="0"/>
          <w:numId w:val="10"/>
        </w:numPr>
        <w:spacing w:before="240" w:line="300" w:lineRule="auto"/>
        <w:ind w:hanging="436"/>
        <w:jc w:val="both"/>
        <w:rPr>
          <w:rFonts w:ascii="Arial" w:eastAsia="Arial" w:hAnsi="Arial" w:cs="Arial"/>
          <w:sz w:val="22"/>
          <w:szCs w:val="22"/>
        </w:rPr>
      </w:pPr>
      <w:r w:rsidRPr="00D473B6">
        <w:rPr>
          <w:rFonts w:ascii="Arial" w:eastAsia="Arial" w:hAnsi="Arial" w:cs="Arial"/>
          <w:b/>
          <w:bCs/>
          <w:sz w:val="22"/>
          <w:szCs w:val="22"/>
        </w:rPr>
        <w:t>Ensure Information Officers participate in participatory planning forums (e.g., Musrenbang).</w:t>
      </w:r>
      <w:r w:rsidR="006675DF" w:rsidRPr="00D473B6">
        <w:rPr>
          <w:rFonts w:ascii="Arial" w:eastAsia="Arial" w:hAnsi="Arial" w:cs="Arial"/>
          <w:sz w:val="22"/>
          <w:szCs w:val="22"/>
        </w:rPr>
        <w:t xml:space="preserve"> </w:t>
      </w:r>
    </w:p>
    <w:p w14:paraId="6548FA4C" w14:textId="3A5A9959" w:rsidR="002033A5" w:rsidRPr="00D473B6" w:rsidRDefault="00E113EC" w:rsidP="006675DF">
      <w:pPr>
        <w:spacing w:line="300" w:lineRule="auto"/>
        <w:ind w:left="720"/>
        <w:jc w:val="both"/>
        <w:rPr>
          <w:rFonts w:ascii="Arial" w:eastAsia="Arial" w:hAnsi="Arial" w:cs="Arial"/>
          <w:sz w:val="22"/>
          <w:szCs w:val="22"/>
        </w:rPr>
      </w:pPr>
      <w:r w:rsidRPr="00D473B6">
        <w:rPr>
          <w:rFonts w:ascii="Arial" w:eastAsia="Arial" w:hAnsi="Arial" w:cs="Arial"/>
          <w:sz w:val="22"/>
          <w:szCs w:val="22"/>
        </w:rPr>
        <w:t>Information Officers should attend Musrenbang and other public participation activities to systematically document discussions, proposals, and decisions related to infrastructure development.</w:t>
      </w:r>
    </w:p>
    <w:p w14:paraId="134EF13E" w14:textId="62647FB9" w:rsidR="00F152E2" w:rsidRPr="00D473B6" w:rsidRDefault="00F152E2" w:rsidP="00F152E2">
      <w:pPr>
        <w:numPr>
          <w:ilvl w:val="0"/>
          <w:numId w:val="10"/>
        </w:numPr>
        <w:spacing w:before="240" w:line="300" w:lineRule="auto"/>
        <w:ind w:hanging="436"/>
        <w:jc w:val="both"/>
        <w:rPr>
          <w:rFonts w:ascii="Arial" w:eastAsia="Arial" w:hAnsi="Arial" w:cs="Arial"/>
          <w:sz w:val="22"/>
          <w:szCs w:val="22"/>
        </w:rPr>
      </w:pPr>
      <w:r w:rsidRPr="00D473B6">
        <w:rPr>
          <w:rFonts w:ascii="Arial" w:eastAsia="Arial" w:hAnsi="Arial" w:cs="Arial"/>
          <w:b/>
          <w:bCs/>
          <w:sz w:val="22"/>
          <w:szCs w:val="22"/>
        </w:rPr>
        <w:t xml:space="preserve">Strengthen and scale up the Infrastructure Transparency Initiative of Nusa Tenggara Barat (INTRAs) </w:t>
      </w:r>
    </w:p>
    <w:p w14:paraId="50841886" w14:textId="4EDED34A" w:rsidR="00F152E2" w:rsidRPr="00D473B6" w:rsidRDefault="00F152E2" w:rsidP="008B596C">
      <w:pPr>
        <w:spacing w:line="300" w:lineRule="auto"/>
        <w:ind w:left="720"/>
        <w:jc w:val="both"/>
        <w:rPr>
          <w:rFonts w:ascii="Arial" w:eastAsia="Arial" w:hAnsi="Arial" w:cs="Arial"/>
          <w:sz w:val="22"/>
          <w:szCs w:val="22"/>
        </w:rPr>
      </w:pPr>
      <w:r w:rsidRPr="00D473B6">
        <w:rPr>
          <w:rFonts w:ascii="Arial" w:eastAsia="Arial" w:hAnsi="Arial" w:cs="Arial"/>
          <w:sz w:val="22"/>
          <w:szCs w:val="22"/>
        </w:rPr>
        <w:t xml:space="preserve">The existing INTRAs platform should be further developed as the central infrastructure transparency portal in NTB by enhancing its integration across all stages of the project cycle — from planning and procurement to implementation and completion. Its coverage should also be expanded to all regencies </w:t>
      </w:r>
      <w:r w:rsidR="006259D7">
        <w:rPr>
          <w:rFonts w:ascii="Arial" w:eastAsia="Arial" w:hAnsi="Arial" w:cs="Arial"/>
          <w:sz w:val="22"/>
          <w:szCs w:val="22"/>
        </w:rPr>
        <w:t>in NTB to ensure comprehensive,</w:t>
      </w:r>
      <w:r w:rsidRPr="00D473B6">
        <w:rPr>
          <w:rFonts w:ascii="Arial" w:eastAsia="Arial" w:hAnsi="Arial" w:cs="Arial"/>
          <w:sz w:val="22"/>
          <w:szCs w:val="22"/>
        </w:rPr>
        <w:t xml:space="preserve"> consistent data availability. In addition, the platform should continue to align with </w:t>
      </w:r>
      <w:r w:rsidR="006259D7">
        <w:rPr>
          <w:rFonts w:ascii="Arial" w:eastAsia="Arial" w:hAnsi="Arial" w:cs="Arial"/>
          <w:sz w:val="22"/>
          <w:szCs w:val="22"/>
        </w:rPr>
        <w:t>recognised</w:t>
      </w:r>
      <w:r w:rsidRPr="00D473B6">
        <w:rPr>
          <w:rFonts w:ascii="Arial" w:eastAsia="Arial" w:hAnsi="Arial" w:cs="Arial"/>
          <w:sz w:val="22"/>
          <w:szCs w:val="22"/>
        </w:rPr>
        <w:t xml:space="preserve"> standards</w:t>
      </w:r>
      <w:r w:rsidR="006259D7">
        <w:rPr>
          <w:rFonts w:ascii="Arial" w:eastAsia="Arial" w:hAnsi="Arial" w:cs="Arial"/>
          <w:sz w:val="22"/>
          <w:szCs w:val="22"/>
        </w:rPr>
        <w:t>, such as CoST IDS or OC4IDS, and promote open,</w:t>
      </w:r>
      <w:r w:rsidRPr="00D473B6">
        <w:rPr>
          <w:rFonts w:ascii="Arial" w:eastAsia="Arial" w:hAnsi="Arial" w:cs="Arial"/>
          <w:sz w:val="22"/>
          <w:szCs w:val="22"/>
        </w:rPr>
        <w:t xml:space="preserve"> user-friendly access to infrastructure data.</w:t>
      </w:r>
      <w:r w:rsidRPr="00D473B6">
        <w:rPr>
          <w:rFonts w:ascii="Arial" w:eastAsia="Arial" w:hAnsi="Arial" w:cs="Arial"/>
          <w:b/>
          <w:bCs/>
          <w:sz w:val="22"/>
          <w:szCs w:val="22"/>
        </w:rPr>
        <w:t xml:space="preserve"> </w:t>
      </w:r>
    </w:p>
    <w:p w14:paraId="67B1A02E" w14:textId="77777777" w:rsidR="006675DF" w:rsidRPr="00D473B6" w:rsidRDefault="00E113EC" w:rsidP="006675DF">
      <w:pPr>
        <w:numPr>
          <w:ilvl w:val="0"/>
          <w:numId w:val="10"/>
        </w:numPr>
        <w:spacing w:before="240" w:line="300" w:lineRule="auto"/>
        <w:ind w:hanging="436"/>
        <w:jc w:val="both"/>
        <w:rPr>
          <w:rFonts w:ascii="Arial" w:eastAsia="Arial" w:hAnsi="Arial" w:cs="Arial"/>
          <w:sz w:val="22"/>
          <w:szCs w:val="22"/>
        </w:rPr>
      </w:pPr>
      <w:r w:rsidRPr="00D473B6">
        <w:rPr>
          <w:rFonts w:ascii="Arial" w:eastAsia="Arial" w:hAnsi="Arial" w:cs="Arial"/>
          <w:b/>
          <w:bCs/>
          <w:sz w:val="22"/>
          <w:szCs w:val="22"/>
        </w:rPr>
        <w:t>Implement periodic data updates.</w:t>
      </w:r>
      <w:r w:rsidR="006675DF" w:rsidRPr="00D473B6">
        <w:rPr>
          <w:rFonts w:ascii="Arial" w:eastAsia="Arial" w:hAnsi="Arial" w:cs="Arial"/>
          <w:sz w:val="22"/>
          <w:szCs w:val="22"/>
        </w:rPr>
        <w:t xml:space="preserve"> </w:t>
      </w:r>
    </w:p>
    <w:p w14:paraId="62668194" w14:textId="2812F2AE" w:rsidR="00FA0F94" w:rsidRPr="00D473B6" w:rsidRDefault="00E113EC" w:rsidP="006675DF">
      <w:pPr>
        <w:spacing w:line="300" w:lineRule="auto"/>
        <w:ind w:left="720"/>
        <w:jc w:val="both"/>
        <w:rPr>
          <w:rFonts w:ascii="Arial" w:eastAsia="Arial" w:hAnsi="Arial" w:cs="Arial"/>
          <w:sz w:val="22"/>
          <w:szCs w:val="22"/>
        </w:rPr>
      </w:pPr>
      <w:r w:rsidRPr="00D473B6">
        <w:rPr>
          <w:rFonts w:ascii="Arial" w:eastAsia="Arial" w:hAnsi="Arial" w:cs="Arial"/>
          <w:sz w:val="22"/>
          <w:szCs w:val="22"/>
        </w:rPr>
        <w:t xml:space="preserve">Infrastructure data published on the transparency portal should be updated regularly, at </w:t>
      </w:r>
      <w:r w:rsidR="008B596C">
        <w:rPr>
          <w:rFonts w:ascii="Arial" w:eastAsia="Arial" w:hAnsi="Arial" w:cs="Arial"/>
          <w:sz w:val="22"/>
          <w:szCs w:val="22"/>
        </w:rPr>
        <w:t xml:space="preserve">a </w:t>
      </w:r>
      <w:r w:rsidRPr="00D473B6">
        <w:rPr>
          <w:rFonts w:ascii="Arial" w:eastAsia="Arial" w:hAnsi="Arial" w:cs="Arial"/>
          <w:sz w:val="22"/>
          <w:szCs w:val="22"/>
        </w:rPr>
        <w:t>minimum once every three months, to ensure relevance, accuracy, and reliability.</w:t>
      </w:r>
      <w:r w:rsidR="003961B5" w:rsidRPr="00D473B6">
        <w:rPr>
          <w:rFonts w:ascii="Arial" w:eastAsia="Arial" w:hAnsi="Arial" w:cs="Arial"/>
          <w:sz w:val="22"/>
          <w:szCs w:val="22"/>
        </w:rPr>
        <w:t xml:space="preserve"> </w:t>
      </w:r>
      <w:r w:rsidR="00FA0F94" w:rsidRPr="00D473B6">
        <w:rPr>
          <w:rFonts w:ascii="Arial" w:eastAsia="Arial" w:hAnsi="Arial" w:cs="Arial"/>
          <w:sz w:val="22"/>
          <w:szCs w:val="22"/>
        </w:rPr>
        <w:t xml:space="preserve">Automated update mechanisms should be </w:t>
      </w:r>
      <w:r w:rsidR="008B596C">
        <w:rPr>
          <w:rFonts w:ascii="Arial" w:eastAsia="Arial" w:hAnsi="Arial" w:cs="Arial"/>
          <w:sz w:val="22"/>
          <w:szCs w:val="22"/>
        </w:rPr>
        <w:t>prioritised</w:t>
      </w:r>
      <w:r w:rsidR="00FA0F94" w:rsidRPr="00D473B6">
        <w:rPr>
          <w:rFonts w:ascii="Arial" w:eastAsia="Arial" w:hAnsi="Arial" w:cs="Arial"/>
          <w:sz w:val="22"/>
          <w:szCs w:val="22"/>
        </w:rPr>
        <w:t xml:space="preserve"> to improve efficiency and consistency in data publication.</w:t>
      </w:r>
      <w:r w:rsidR="00FA0F94" w:rsidRPr="00D473B6" w:rsidDel="00FA0F94">
        <w:rPr>
          <w:rFonts w:ascii="Arial" w:eastAsia="Arial" w:hAnsi="Arial" w:cs="Arial"/>
          <w:sz w:val="22"/>
          <w:szCs w:val="22"/>
        </w:rPr>
        <w:t xml:space="preserve"> </w:t>
      </w:r>
    </w:p>
    <w:p w14:paraId="1D6A8FE0" w14:textId="77777777" w:rsidR="006675DF" w:rsidRPr="00D473B6" w:rsidRDefault="00E113EC" w:rsidP="006675DF">
      <w:pPr>
        <w:numPr>
          <w:ilvl w:val="0"/>
          <w:numId w:val="10"/>
        </w:numPr>
        <w:spacing w:before="240" w:line="300" w:lineRule="auto"/>
        <w:ind w:hanging="436"/>
        <w:jc w:val="both"/>
        <w:rPr>
          <w:rFonts w:ascii="Arial" w:eastAsia="Arial" w:hAnsi="Arial" w:cs="Arial"/>
          <w:sz w:val="22"/>
          <w:szCs w:val="22"/>
        </w:rPr>
      </w:pPr>
      <w:r w:rsidRPr="00D473B6">
        <w:rPr>
          <w:rFonts w:ascii="Arial" w:eastAsia="Arial" w:hAnsi="Arial" w:cs="Arial"/>
          <w:b/>
          <w:bCs/>
          <w:sz w:val="22"/>
          <w:szCs w:val="22"/>
        </w:rPr>
        <w:t>Conduct a bureaucratic process review related to infrastructure information disclosure.</w:t>
      </w:r>
      <w:r w:rsidR="006675DF" w:rsidRPr="00D473B6">
        <w:rPr>
          <w:rFonts w:ascii="Arial" w:eastAsia="Arial" w:hAnsi="Arial" w:cs="Arial"/>
          <w:sz w:val="22"/>
          <w:szCs w:val="22"/>
        </w:rPr>
        <w:t xml:space="preserve"> </w:t>
      </w:r>
    </w:p>
    <w:p w14:paraId="3FA34846" w14:textId="3B433DEB" w:rsidR="002033A5" w:rsidRPr="00D473B6" w:rsidRDefault="00E113EC" w:rsidP="006675DF">
      <w:pPr>
        <w:spacing w:line="300" w:lineRule="auto"/>
        <w:ind w:left="720"/>
        <w:jc w:val="both"/>
        <w:rPr>
          <w:rFonts w:ascii="Arial" w:eastAsia="Arial" w:hAnsi="Arial" w:cs="Arial"/>
          <w:sz w:val="22"/>
          <w:szCs w:val="22"/>
        </w:rPr>
      </w:pPr>
      <w:r w:rsidRPr="00D473B6">
        <w:rPr>
          <w:rFonts w:ascii="Arial" w:eastAsia="Arial" w:hAnsi="Arial" w:cs="Arial"/>
          <w:sz w:val="22"/>
          <w:szCs w:val="22"/>
        </w:rPr>
        <w:t xml:space="preserve">A study should be undertaken to identify administrative bottlenecks, overlapping mandates, and procedural barriers that hinder </w:t>
      </w:r>
      <w:r w:rsidR="008B596C">
        <w:rPr>
          <w:rFonts w:ascii="Arial" w:eastAsia="Arial" w:hAnsi="Arial" w:cs="Arial"/>
          <w:sz w:val="22"/>
          <w:szCs w:val="22"/>
        </w:rPr>
        <w:t>the effective implementation of transparency</w:t>
      </w:r>
      <w:r w:rsidRPr="00D473B6">
        <w:rPr>
          <w:rFonts w:ascii="Arial" w:eastAsia="Arial" w:hAnsi="Arial" w:cs="Arial"/>
          <w:sz w:val="22"/>
          <w:szCs w:val="22"/>
        </w:rPr>
        <w:t>.</w:t>
      </w:r>
      <w:r w:rsidR="003961B5" w:rsidRPr="00D473B6">
        <w:rPr>
          <w:rFonts w:ascii="Arial" w:eastAsia="Arial" w:hAnsi="Arial" w:cs="Arial"/>
          <w:sz w:val="22"/>
          <w:szCs w:val="22"/>
        </w:rPr>
        <w:t xml:space="preserve"> </w:t>
      </w:r>
      <w:r w:rsidR="00FA0F94" w:rsidRPr="00D473B6">
        <w:rPr>
          <w:rFonts w:ascii="Arial" w:eastAsia="Arial" w:hAnsi="Arial" w:cs="Arial"/>
          <w:sz w:val="22"/>
          <w:szCs w:val="22"/>
        </w:rPr>
        <w:t>The review should also explore opportunities to streamline processes through automated systems.</w:t>
      </w:r>
      <w:r w:rsidR="00FA0F94" w:rsidRPr="00D473B6" w:rsidDel="00FA0F94">
        <w:rPr>
          <w:rFonts w:ascii="Arial" w:eastAsia="Arial" w:hAnsi="Arial" w:cs="Arial"/>
          <w:sz w:val="22"/>
          <w:szCs w:val="22"/>
        </w:rPr>
        <w:t xml:space="preserve"> </w:t>
      </w:r>
    </w:p>
    <w:p w14:paraId="71384447" w14:textId="32F3705B" w:rsidR="006675DF" w:rsidRPr="00D473B6" w:rsidRDefault="00E113EC" w:rsidP="006675DF">
      <w:pPr>
        <w:numPr>
          <w:ilvl w:val="0"/>
          <w:numId w:val="10"/>
        </w:numPr>
        <w:spacing w:before="240" w:line="300" w:lineRule="auto"/>
        <w:ind w:hanging="436"/>
        <w:jc w:val="both"/>
        <w:rPr>
          <w:rFonts w:ascii="Arial" w:eastAsia="Arial" w:hAnsi="Arial" w:cs="Arial"/>
          <w:sz w:val="22"/>
          <w:szCs w:val="22"/>
        </w:rPr>
      </w:pPr>
      <w:r w:rsidRPr="00D473B6">
        <w:rPr>
          <w:rFonts w:ascii="Arial" w:eastAsia="Arial" w:hAnsi="Arial" w:cs="Arial"/>
          <w:b/>
          <w:bCs/>
          <w:sz w:val="22"/>
          <w:szCs w:val="22"/>
        </w:rPr>
        <w:t xml:space="preserve">Promote public awareness and </w:t>
      </w:r>
      <w:r w:rsidR="00D473B6">
        <w:rPr>
          <w:rFonts w:ascii="Arial" w:eastAsia="Arial" w:hAnsi="Arial" w:cs="Arial"/>
          <w:b/>
          <w:bCs/>
          <w:sz w:val="22"/>
          <w:szCs w:val="22"/>
        </w:rPr>
        <w:t>utilisation</w:t>
      </w:r>
      <w:r w:rsidRPr="00D473B6">
        <w:rPr>
          <w:rFonts w:ascii="Arial" w:eastAsia="Arial" w:hAnsi="Arial" w:cs="Arial"/>
          <w:b/>
          <w:bCs/>
          <w:sz w:val="22"/>
          <w:szCs w:val="22"/>
        </w:rPr>
        <w:t xml:space="preserve"> of transparency portals.</w:t>
      </w:r>
      <w:r w:rsidR="006675DF" w:rsidRPr="00D473B6">
        <w:rPr>
          <w:rFonts w:ascii="Arial" w:eastAsia="Arial" w:hAnsi="Arial" w:cs="Arial"/>
          <w:sz w:val="22"/>
          <w:szCs w:val="22"/>
        </w:rPr>
        <w:t xml:space="preserve"> </w:t>
      </w:r>
    </w:p>
    <w:p w14:paraId="76188CC1" w14:textId="7E6C4C88" w:rsidR="002033A5" w:rsidRPr="00D473B6" w:rsidRDefault="00D473B6" w:rsidP="006675DF">
      <w:pPr>
        <w:spacing w:line="300" w:lineRule="auto"/>
        <w:ind w:left="720"/>
        <w:jc w:val="both"/>
        <w:rPr>
          <w:rFonts w:ascii="Arial" w:eastAsia="Arial" w:hAnsi="Arial" w:cs="Arial"/>
          <w:sz w:val="22"/>
          <w:szCs w:val="22"/>
        </w:rPr>
      </w:pPr>
      <w:r>
        <w:rPr>
          <w:rFonts w:ascii="Arial" w:eastAsia="Arial" w:hAnsi="Arial" w:cs="Arial"/>
          <w:sz w:val="22"/>
          <w:szCs w:val="22"/>
        </w:rPr>
        <w:t>Socialisation and outreach activities should be conducted to inform civil society organisations</w:t>
      </w:r>
      <w:r w:rsidR="00E113EC" w:rsidRPr="00D473B6">
        <w:rPr>
          <w:rFonts w:ascii="Arial" w:eastAsia="Arial" w:hAnsi="Arial" w:cs="Arial"/>
          <w:sz w:val="22"/>
          <w:szCs w:val="22"/>
        </w:rPr>
        <w:t>, academics, media, and community members about available transparency platforms and how to use the disclosed data effectively.</w:t>
      </w:r>
    </w:p>
    <w:p w14:paraId="73B96EC7" w14:textId="77777777" w:rsidR="006675DF" w:rsidRPr="00D473B6" w:rsidRDefault="00E113EC" w:rsidP="006675DF">
      <w:pPr>
        <w:numPr>
          <w:ilvl w:val="0"/>
          <w:numId w:val="10"/>
        </w:numPr>
        <w:spacing w:before="240" w:line="300" w:lineRule="auto"/>
        <w:ind w:hanging="436"/>
        <w:jc w:val="both"/>
        <w:rPr>
          <w:rFonts w:ascii="Arial" w:eastAsia="Arial" w:hAnsi="Arial" w:cs="Arial"/>
          <w:sz w:val="22"/>
          <w:szCs w:val="22"/>
        </w:rPr>
      </w:pPr>
      <w:r w:rsidRPr="00D473B6">
        <w:rPr>
          <w:rFonts w:ascii="Arial" w:eastAsia="Arial" w:hAnsi="Arial" w:cs="Arial"/>
          <w:b/>
          <w:bCs/>
          <w:sz w:val="22"/>
          <w:szCs w:val="22"/>
        </w:rPr>
        <w:t>Expand data disclosure across all stages of the infrastructure project cycle.</w:t>
      </w:r>
      <w:r w:rsidR="006675DF" w:rsidRPr="00D473B6">
        <w:rPr>
          <w:rFonts w:ascii="Arial" w:eastAsia="Arial" w:hAnsi="Arial" w:cs="Arial"/>
          <w:sz w:val="22"/>
          <w:szCs w:val="22"/>
        </w:rPr>
        <w:t xml:space="preserve"> </w:t>
      </w:r>
    </w:p>
    <w:p w14:paraId="26DCB476" w14:textId="04C60C74" w:rsidR="002033A5" w:rsidRPr="00D473B6" w:rsidRDefault="00E113EC" w:rsidP="006675DF">
      <w:pPr>
        <w:spacing w:line="300" w:lineRule="auto"/>
        <w:ind w:left="720"/>
        <w:jc w:val="both"/>
        <w:rPr>
          <w:rFonts w:ascii="Arial" w:eastAsia="Arial" w:hAnsi="Arial" w:cs="Arial"/>
          <w:sz w:val="22"/>
          <w:szCs w:val="22"/>
        </w:rPr>
      </w:pPr>
      <w:r w:rsidRPr="00D473B6">
        <w:rPr>
          <w:rFonts w:ascii="Arial" w:eastAsia="Arial" w:hAnsi="Arial" w:cs="Arial"/>
          <w:sz w:val="22"/>
          <w:szCs w:val="22"/>
        </w:rPr>
        <w:t xml:space="preserve">Transparency efforts should </w:t>
      </w:r>
      <w:r w:rsidR="006259D7">
        <w:rPr>
          <w:rFonts w:ascii="Arial" w:eastAsia="Arial" w:hAnsi="Arial" w:cs="Arial"/>
          <w:sz w:val="22"/>
          <w:szCs w:val="22"/>
        </w:rPr>
        <w:t>extend beyond the procurement (tender) phase to</w:t>
      </w:r>
      <w:r w:rsidRPr="00D473B6">
        <w:rPr>
          <w:rFonts w:ascii="Arial" w:eastAsia="Arial" w:hAnsi="Arial" w:cs="Arial"/>
          <w:sz w:val="22"/>
          <w:szCs w:val="22"/>
        </w:rPr>
        <w:t xml:space="preserve"> include planning, budgeting, contract execution, monitoring, and project completion.</w:t>
      </w:r>
      <w:r w:rsidR="003961B5" w:rsidRPr="00D473B6">
        <w:rPr>
          <w:rFonts w:ascii="Arial" w:eastAsia="Arial" w:hAnsi="Arial" w:cs="Arial"/>
          <w:sz w:val="22"/>
          <w:szCs w:val="22"/>
        </w:rPr>
        <w:t xml:space="preserve"> NTB should promote </w:t>
      </w:r>
      <w:r w:rsidR="006259D7">
        <w:rPr>
          <w:rFonts w:ascii="Arial" w:eastAsia="Arial" w:hAnsi="Arial" w:cs="Arial"/>
          <w:sz w:val="22"/>
          <w:szCs w:val="22"/>
        </w:rPr>
        <w:t xml:space="preserve">the adoption of an infrastructure data disclosure standard (a </w:t>
      </w:r>
      <w:r w:rsidR="003961B5" w:rsidRPr="00D473B6">
        <w:rPr>
          <w:rFonts w:ascii="Arial" w:eastAsia="Arial" w:hAnsi="Arial" w:cs="Arial"/>
          <w:sz w:val="22"/>
          <w:szCs w:val="22"/>
        </w:rPr>
        <w:t>formal disclosure requirement).</w:t>
      </w:r>
    </w:p>
    <w:p w14:paraId="5E2E920D" w14:textId="77777777" w:rsidR="006675DF" w:rsidRPr="00D473B6" w:rsidRDefault="00E113EC" w:rsidP="006675DF">
      <w:pPr>
        <w:numPr>
          <w:ilvl w:val="0"/>
          <w:numId w:val="10"/>
        </w:numPr>
        <w:spacing w:before="240" w:line="300" w:lineRule="auto"/>
        <w:ind w:hanging="436"/>
        <w:jc w:val="both"/>
        <w:rPr>
          <w:rFonts w:ascii="Arial" w:eastAsia="Arial" w:hAnsi="Arial" w:cs="Arial"/>
          <w:sz w:val="22"/>
          <w:szCs w:val="22"/>
        </w:rPr>
      </w:pPr>
      <w:r w:rsidRPr="00D473B6">
        <w:rPr>
          <w:rFonts w:ascii="Arial" w:eastAsia="Arial" w:hAnsi="Arial" w:cs="Arial"/>
          <w:b/>
          <w:bCs/>
          <w:sz w:val="22"/>
          <w:szCs w:val="22"/>
        </w:rPr>
        <w:t>Ensure specific disclosure of project supervision and monitoring data.</w:t>
      </w:r>
      <w:r w:rsidR="006675DF" w:rsidRPr="00D473B6">
        <w:rPr>
          <w:rFonts w:ascii="Arial" w:eastAsia="Arial" w:hAnsi="Arial" w:cs="Arial"/>
          <w:sz w:val="22"/>
          <w:szCs w:val="22"/>
        </w:rPr>
        <w:t xml:space="preserve"> </w:t>
      </w:r>
    </w:p>
    <w:p w14:paraId="7C03DF5E" w14:textId="0B5358F1" w:rsidR="002033A5" w:rsidRPr="00D473B6" w:rsidRDefault="004C7148" w:rsidP="004C7148">
      <w:pPr>
        <w:pStyle w:val="ListParagraph"/>
        <w:spacing w:line="300" w:lineRule="auto"/>
        <w:jc w:val="both"/>
        <w:rPr>
          <w:rFonts w:ascii="Arial" w:eastAsia="Arial" w:hAnsi="Arial" w:cs="Arial"/>
          <w:sz w:val="22"/>
          <w:szCs w:val="22"/>
          <w:lang w:val="en-GB"/>
        </w:rPr>
      </w:pPr>
      <w:r w:rsidRPr="00D473B6">
        <w:rPr>
          <w:rFonts w:ascii="Arial" w:eastAsia="Arial" w:hAnsi="Arial" w:cs="Arial"/>
          <w:sz w:val="22"/>
          <w:szCs w:val="22"/>
          <w:lang w:val="en-GB"/>
        </w:rPr>
        <w:t xml:space="preserve">Dedicated transparency mechanisms should be developed to publish supervision reports, progress monitoring data, contract variations, and evaluation results to enhance accountability during project implementation. In addition, the Government of Nusa Tenggara Barat is encouraged to </w:t>
      </w:r>
      <w:r w:rsidR="00D473B6">
        <w:rPr>
          <w:rFonts w:ascii="Arial" w:eastAsia="Arial" w:hAnsi="Arial" w:cs="Arial"/>
          <w:sz w:val="22"/>
          <w:szCs w:val="22"/>
          <w:lang w:val="en-GB"/>
        </w:rPr>
        <w:t>institutionalise the regular implementation of the Infrastructure Transparency Index (ITI) every two years to systematically assess progress in infrastructure transparency performance and to track improvements over time.</w:t>
      </w:r>
    </w:p>
    <w:p w14:paraId="410FA1C9" w14:textId="77777777" w:rsidR="002033A5" w:rsidRPr="00E619C8" w:rsidRDefault="00E113EC">
      <w:pPr>
        <w:pBdr>
          <w:top w:val="nil"/>
          <w:left w:val="nil"/>
          <w:bottom w:val="nil"/>
          <w:right w:val="nil"/>
          <w:between w:val="nil"/>
        </w:pBdr>
        <w:spacing w:after="160" w:line="300" w:lineRule="auto"/>
        <w:jc w:val="both"/>
      </w:pPr>
      <w:r w:rsidRPr="00E619C8">
        <w:br w:type="page"/>
      </w:r>
    </w:p>
    <w:p w14:paraId="0FBE7F3A" w14:textId="77777777" w:rsidR="002033A5" w:rsidRPr="00E619C8" w:rsidRDefault="002033A5">
      <w:pPr>
        <w:pBdr>
          <w:top w:val="nil"/>
          <w:left w:val="nil"/>
          <w:bottom w:val="nil"/>
          <w:right w:val="nil"/>
          <w:between w:val="nil"/>
        </w:pBdr>
        <w:spacing w:after="160" w:line="300" w:lineRule="auto"/>
        <w:jc w:val="both"/>
        <w:rPr>
          <w:rFonts w:ascii="Arial" w:eastAsia="Arial" w:hAnsi="Arial" w:cs="Arial"/>
          <w:sz w:val="22"/>
          <w:szCs w:val="22"/>
        </w:rPr>
      </w:pPr>
    </w:p>
    <w:p w14:paraId="1A239A6E" w14:textId="77777777" w:rsidR="002033A5" w:rsidRPr="00E619C8" w:rsidRDefault="00E113EC">
      <w:pPr>
        <w:pStyle w:val="Heading1"/>
        <w:pBdr>
          <w:top w:val="nil"/>
          <w:left w:val="nil"/>
          <w:bottom w:val="nil"/>
          <w:right w:val="nil"/>
          <w:between w:val="nil"/>
        </w:pBdr>
        <w:spacing w:before="120" w:after="240" w:line="276" w:lineRule="auto"/>
        <w:rPr>
          <w:rFonts w:ascii="Arial" w:eastAsia="Arial" w:hAnsi="Arial" w:cs="Arial"/>
          <w:b/>
          <w:bCs/>
          <w:color w:val="C00000"/>
          <w:sz w:val="22"/>
          <w:szCs w:val="22"/>
        </w:rPr>
      </w:pPr>
      <w:bookmarkStart w:id="37" w:name="_Toc227235264"/>
      <w:r w:rsidRPr="00E619C8">
        <w:rPr>
          <w:rFonts w:ascii="Arial" w:eastAsia="Arial" w:hAnsi="Arial" w:cs="Arial"/>
          <w:b/>
          <w:bCs/>
          <w:color w:val="C00000"/>
          <w:sz w:val="48"/>
          <w:szCs w:val="48"/>
        </w:rPr>
        <w:t xml:space="preserve">Annex 1 </w:t>
      </w:r>
      <w:r w:rsidRPr="00E619C8">
        <w:rPr>
          <w:rFonts w:ascii="Arial" w:eastAsia="Arial" w:hAnsi="Arial" w:cs="Arial"/>
          <w:b/>
          <w:bCs/>
          <w:color w:val="C00000"/>
        </w:rPr>
        <w:t>| Evaluation instrument</w:t>
      </w:r>
      <w:bookmarkEnd w:id="37"/>
      <w:r w:rsidRPr="00E619C8">
        <w:rPr>
          <w:rFonts w:ascii="Arial" w:eastAsia="Arial" w:hAnsi="Arial" w:cs="Arial"/>
          <w:b/>
          <w:bCs/>
          <w:color w:val="C00000"/>
        </w:rPr>
        <w:t xml:space="preserve"> </w:t>
      </w:r>
      <w:r w:rsidRPr="00E619C8">
        <w:rPr>
          <w:rFonts w:ascii="Monda" w:eastAsia="Monda" w:hAnsi="Monda" w:cs="Monda"/>
          <w:b/>
          <w:bCs/>
          <w:color w:val="C00000"/>
        </w:rPr>
        <w:t xml:space="preserve"> </w:t>
      </w:r>
    </w:p>
    <w:p w14:paraId="62E836F0" w14:textId="77777777" w:rsidR="002033A5" w:rsidRPr="00E619C8" w:rsidRDefault="00000000">
      <w:pPr>
        <w:pBdr>
          <w:top w:val="nil"/>
          <w:left w:val="nil"/>
          <w:bottom w:val="nil"/>
          <w:right w:val="nil"/>
          <w:between w:val="nil"/>
        </w:pBdr>
        <w:spacing w:after="160" w:line="300" w:lineRule="auto"/>
        <w:jc w:val="both"/>
        <w:rPr>
          <w:rFonts w:ascii="Arial" w:eastAsia="Arial" w:hAnsi="Arial" w:cs="Arial"/>
          <w:sz w:val="20"/>
          <w:szCs w:val="20"/>
        </w:rPr>
      </w:pPr>
      <w:sdt>
        <w:sdtPr>
          <w:tag w:val="goog_rdk_2"/>
          <w:id w:val="1490833271"/>
        </w:sdtPr>
        <w:sdtContent>
          <w:r w:rsidR="00E113EC" w:rsidRPr="00E619C8">
            <w:rPr>
              <w:rFonts w:ascii="Arial Unicode MS" w:eastAsia="Arial Unicode MS" w:hAnsi="Arial Unicode MS" w:cs="Arial Unicode MS"/>
              <w:sz w:val="20"/>
              <w:szCs w:val="20"/>
            </w:rPr>
            <w:t>The Infrastructure Transparency Index (ITI) score (range 0−1) is calculated as follows:</w:t>
          </w:r>
        </w:sdtContent>
      </w:sdt>
    </w:p>
    <w:p w14:paraId="0190923F" w14:textId="77777777" w:rsidR="002033A5" w:rsidRPr="00E619C8" w:rsidRDefault="00000000">
      <w:pPr>
        <w:pBdr>
          <w:top w:val="nil"/>
          <w:left w:val="nil"/>
          <w:bottom w:val="nil"/>
          <w:right w:val="nil"/>
          <w:between w:val="nil"/>
        </w:pBdr>
        <w:spacing w:after="160" w:line="300" w:lineRule="auto"/>
        <w:jc w:val="center"/>
        <w:rPr>
          <w:rFonts w:ascii="Arial" w:eastAsia="Arial" w:hAnsi="Arial" w:cs="Arial"/>
          <w:sz w:val="20"/>
          <w:szCs w:val="20"/>
        </w:rPr>
      </w:pPr>
      <w:sdt>
        <w:sdtPr>
          <w:tag w:val="goog_rdk_3"/>
          <w:id w:val="838703394"/>
        </w:sdtPr>
        <w:sdtContent>
          <w:r w:rsidR="00E113EC" w:rsidRPr="00E619C8">
            <w:rPr>
              <w:rFonts w:ascii="Arial Unicode MS" w:eastAsia="Arial Unicode MS" w:hAnsi="Arial Unicode MS" w:cs="Arial Unicode MS"/>
              <w:sz w:val="20"/>
              <w:szCs w:val="20"/>
            </w:rPr>
            <w:t>ITI score = ∑wd ( ∑wv ( ∑wsv ( ∑wi.i ) ) )</w:t>
          </w:r>
        </w:sdtContent>
      </w:sdt>
    </w:p>
    <w:p w14:paraId="23782EDB" w14:textId="30CF67CE" w:rsidR="00E3757E" w:rsidRPr="00E619C8" w:rsidRDefault="00E3757E">
      <w:pPr>
        <w:pBdr>
          <w:top w:val="nil"/>
          <w:left w:val="nil"/>
          <w:bottom w:val="nil"/>
          <w:right w:val="nil"/>
          <w:between w:val="nil"/>
        </w:pBdr>
        <w:spacing w:after="160" w:line="300" w:lineRule="auto"/>
        <w:jc w:val="both"/>
        <w:rPr>
          <w:rFonts w:ascii="Arial" w:eastAsia="Arial" w:hAnsi="Arial" w:cs="Arial"/>
          <w:sz w:val="20"/>
          <w:szCs w:val="20"/>
        </w:rPr>
      </w:pPr>
      <w:r w:rsidRPr="00E619C8">
        <w:rPr>
          <w:rFonts w:ascii="Arial" w:eastAsia="Arial" w:hAnsi="Arial" w:cs="Arial"/>
          <w:sz w:val="20"/>
          <w:szCs w:val="20"/>
        </w:rPr>
        <w:t>Where wi is the weighting for each evaluated indicator score i (range 0−1) within each sub-variable, wsv is the weighting for each sub-variable score within each variable, wv is the weighting for each variable score within each dimension</w:t>
      </w:r>
      <w:r w:rsidR="00A73133">
        <w:rPr>
          <w:rFonts w:ascii="Arial" w:eastAsia="Arial" w:hAnsi="Arial" w:cs="Arial"/>
          <w:sz w:val="20"/>
          <w:szCs w:val="20"/>
        </w:rPr>
        <w:t>,</w:t>
      </w:r>
      <w:r w:rsidRPr="00E619C8">
        <w:rPr>
          <w:rFonts w:ascii="Arial" w:eastAsia="Arial" w:hAnsi="Arial" w:cs="Arial"/>
          <w:sz w:val="20"/>
          <w:szCs w:val="20"/>
        </w:rPr>
        <w:t xml:space="preserve"> and wd is the weighting for each dimension score within the ITI.</w:t>
      </w:r>
    </w:p>
    <w:p w14:paraId="20B34CFC" w14:textId="14F958D4" w:rsidR="002033A5" w:rsidRPr="00E619C8" w:rsidRDefault="00E113EC">
      <w:pPr>
        <w:pBdr>
          <w:top w:val="nil"/>
          <w:left w:val="nil"/>
          <w:bottom w:val="nil"/>
          <w:right w:val="nil"/>
          <w:between w:val="nil"/>
        </w:pBdr>
        <w:spacing w:after="160" w:line="300" w:lineRule="auto"/>
        <w:jc w:val="both"/>
        <w:rPr>
          <w:rFonts w:ascii="Arial" w:eastAsia="Arial" w:hAnsi="Arial" w:cs="Arial"/>
          <w:sz w:val="20"/>
          <w:szCs w:val="20"/>
        </w:rPr>
      </w:pPr>
      <w:r w:rsidRPr="00E619C8">
        <w:rPr>
          <w:rFonts w:ascii="Arial" w:eastAsia="Arial" w:hAnsi="Arial" w:cs="Arial"/>
          <w:sz w:val="20"/>
          <w:szCs w:val="20"/>
        </w:rPr>
        <w:t>All dimensions, variables, sub-variables, indicators, indicator points</w:t>
      </w:r>
      <w:r w:rsidR="00A73133">
        <w:rPr>
          <w:rFonts w:ascii="Arial" w:eastAsia="Arial" w:hAnsi="Arial" w:cs="Arial"/>
          <w:sz w:val="20"/>
          <w:szCs w:val="20"/>
        </w:rPr>
        <w:t>,</w:t>
      </w:r>
      <w:r w:rsidRPr="00E619C8">
        <w:rPr>
          <w:rFonts w:ascii="Arial" w:eastAsia="Arial" w:hAnsi="Arial" w:cs="Arial"/>
          <w:sz w:val="20"/>
          <w:szCs w:val="20"/>
        </w:rPr>
        <w:t xml:space="preserve"> scale and weightings are shown in the following table. </w:t>
      </w:r>
    </w:p>
    <w:p w14:paraId="199D298B" w14:textId="2CB7A87F" w:rsidR="002033A5" w:rsidRPr="00E619C8" w:rsidRDefault="00E113EC">
      <w:pPr>
        <w:pBdr>
          <w:top w:val="nil"/>
          <w:left w:val="nil"/>
          <w:bottom w:val="nil"/>
          <w:right w:val="nil"/>
          <w:between w:val="nil"/>
        </w:pBdr>
        <w:spacing w:after="160" w:line="300" w:lineRule="auto"/>
        <w:jc w:val="both"/>
        <w:rPr>
          <w:rFonts w:ascii="Arial" w:eastAsia="Arial" w:hAnsi="Arial" w:cs="Arial"/>
          <w:sz w:val="20"/>
          <w:szCs w:val="20"/>
        </w:rPr>
      </w:pPr>
      <w:r w:rsidRPr="00E619C8">
        <w:rPr>
          <w:rFonts w:ascii="Arial" w:eastAsia="Arial" w:hAnsi="Arial" w:cs="Arial"/>
          <w:sz w:val="20"/>
          <w:szCs w:val="20"/>
        </w:rPr>
        <w:t xml:space="preserve">When calculating a national or sub-national ITI score, the </w:t>
      </w:r>
      <w:r w:rsidR="00F87D73">
        <w:rPr>
          <w:rFonts w:ascii="Arial" w:eastAsia="Arial" w:hAnsi="Arial" w:cs="Arial"/>
          <w:sz w:val="20"/>
          <w:szCs w:val="20"/>
        </w:rPr>
        <w:t>scores for dimensions 2 and 3 are calculated by summing the respective dimension scores for each procurement entity, then dividing each by the number of procuring entities (ne) to obtain</w:t>
      </w:r>
      <w:r w:rsidRPr="00E619C8">
        <w:rPr>
          <w:rFonts w:ascii="Arial" w:eastAsia="Arial" w:hAnsi="Arial" w:cs="Arial"/>
          <w:sz w:val="20"/>
          <w:szCs w:val="20"/>
        </w:rPr>
        <w:t xml:space="preserve"> the average values. For dimension 4, the scores for each project are added together and then divided by the number of projects (</w:t>
      </w:r>
      <w:r w:rsidRPr="00E619C8">
        <w:rPr>
          <w:rFonts w:ascii="Arial" w:eastAsia="Arial" w:hAnsi="Arial" w:cs="Arial"/>
          <w:i/>
          <w:iCs/>
          <w:sz w:val="20"/>
          <w:szCs w:val="20"/>
        </w:rPr>
        <w:t>n</w:t>
      </w:r>
      <w:r w:rsidRPr="00E619C8">
        <w:rPr>
          <w:rFonts w:ascii="Arial" w:eastAsia="Arial" w:hAnsi="Arial" w:cs="Arial"/>
          <w:sz w:val="20"/>
          <w:szCs w:val="20"/>
          <w:vertAlign w:val="subscript"/>
        </w:rPr>
        <w:t>p</w:t>
      </w:r>
      <w:r w:rsidRPr="00E619C8">
        <w:rPr>
          <w:rFonts w:ascii="Arial" w:eastAsia="Arial" w:hAnsi="Arial" w:cs="Arial"/>
          <w:sz w:val="20"/>
          <w:szCs w:val="20"/>
        </w:rPr>
        <w:t>).</w:t>
      </w:r>
    </w:p>
    <w:p w14:paraId="3D4F67FD" w14:textId="09016447" w:rsidR="002033A5" w:rsidRPr="00E619C8" w:rsidRDefault="00E113EC">
      <w:pPr>
        <w:spacing w:after="160" w:line="276" w:lineRule="auto"/>
        <w:jc w:val="both"/>
        <w:rPr>
          <w:rFonts w:ascii="Arial" w:eastAsia="Arial" w:hAnsi="Arial" w:cs="Arial"/>
          <w:sz w:val="20"/>
          <w:szCs w:val="20"/>
        </w:rPr>
      </w:pPr>
      <w:r w:rsidRPr="00E619C8">
        <w:rPr>
          <w:rFonts w:ascii="Arial" w:eastAsia="Arial" w:hAnsi="Arial" w:cs="Arial"/>
          <w:sz w:val="20"/>
          <w:szCs w:val="20"/>
        </w:rPr>
        <w:t>When calculating a procuring entity ITI score (individually or in groups), dimension 1 and its indicators, sub-variables</w:t>
      </w:r>
      <w:r w:rsidR="00F87D73">
        <w:rPr>
          <w:rFonts w:ascii="Arial" w:eastAsia="Arial" w:hAnsi="Arial" w:cs="Arial"/>
          <w:sz w:val="20"/>
          <w:szCs w:val="20"/>
        </w:rPr>
        <w:t xml:space="preserve">, and variables are not included, and larger values of wd are used for dimensions 2, 3, and 4 (see the weighting column in the </w:t>
      </w:r>
      <w:r w:rsidRPr="00E619C8">
        <w:rPr>
          <w:rFonts w:ascii="Arial" w:eastAsia="Arial" w:hAnsi="Arial" w:cs="Arial"/>
          <w:sz w:val="20"/>
          <w:szCs w:val="20"/>
        </w:rPr>
        <w:t>table below). Again</w:t>
      </w:r>
      <w:r w:rsidR="00F87D73">
        <w:rPr>
          <w:rFonts w:ascii="Arial" w:eastAsia="Arial" w:hAnsi="Arial" w:cs="Arial"/>
          <w:sz w:val="20"/>
          <w:szCs w:val="20"/>
        </w:rPr>
        <w:t>,</w:t>
      </w:r>
      <w:r w:rsidRPr="00E619C8">
        <w:rPr>
          <w:rFonts w:ascii="Arial" w:eastAsia="Arial" w:hAnsi="Arial" w:cs="Arial"/>
          <w:sz w:val="20"/>
          <w:szCs w:val="20"/>
        </w:rPr>
        <w:t xml:space="preserve"> for dimension 4, the scores for each project are added together and then divided by the number of projects (</w:t>
      </w:r>
      <w:r w:rsidRPr="00E619C8">
        <w:rPr>
          <w:rFonts w:ascii="Arial" w:eastAsia="Arial" w:hAnsi="Arial" w:cs="Arial"/>
          <w:i/>
          <w:iCs/>
          <w:sz w:val="20"/>
          <w:szCs w:val="20"/>
        </w:rPr>
        <w:t>n</w:t>
      </w:r>
      <w:r w:rsidRPr="00E619C8">
        <w:rPr>
          <w:rFonts w:ascii="Arial" w:eastAsia="Arial" w:hAnsi="Arial" w:cs="Arial"/>
          <w:sz w:val="20"/>
          <w:szCs w:val="20"/>
          <w:vertAlign w:val="subscript"/>
        </w:rPr>
        <w:t>p</w:t>
      </w:r>
      <w:r w:rsidRPr="00E619C8">
        <w:rPr>
          <w:rFonts w:ascii="Arial" w:eastAsia="Arial" w:hAnsi="Arial" w:cs="Arial"/>
          <w:sz w:val="20"/>
          <w:szCs w:val="20"/>
        </w:rPr>
        <w:t>).</w:t>
      </w:r>
    </w:p>
    <w:p w14:paraId="2A5536BB" w14:textId="77777777" w:rsidR="002033A5" w:rsidRPr="00E619C8" w:rsidRDefault="002033A5">
      <w:pPr>
        <w:spacing w:line="276" w:lineRule="auto"/>
        <w:jc w:val="both"/>
        <w:rPr>
          <w:rFonts w:ascii="Arial" w:eastAsia="Arial" w:hAnsi="Arial" w:cs="Arial"/>
          <w:sz w:val="8"/>
          <w:szCs w:val="8"/>
        </w:rPr>
      </w:pPr>
    </w:p>
    <w:tbl>
      <w:tblPr>
        <w:tblStyle w:val="af4"/>
        <w:tblW w:w="9030" w:type="dxa"/>
        <w:tblBorders>
          <w:top w:val="nil"/>
          <w:left w:val="nil"/>
          <w:bottom w:val="nil"/>
          <w:right w:val="nil"/>
          <w:insideH w:val="nil"/>
          <w:insideV w:val="nil"/>
        </w:tblBorders>
        <w:tblLayout w:type="fixed"/>
        <w:tblLook w:val="0600" w:firstRow="0" w:lastRow="0" w:firstColumn="0" w:lastColumn="0" w:noHBand="1" w:noVBand="1"/>
      </w:tblPr>
      <w:tblGrid>
        <w:gridCol w:w="690"/>
        <w:gridCol w:w="855"/>
        <w:gridCol w:w="1140"/>
        <w:gridCol w:w="1710"/>
        <w:gridCol w:w="855"/>
        <w:gridCol w:w="1950"/>
        <w:gridCol w:w="900"/>
        <w:gridCol w:w="930"/>
      </w:tblGrid>
      <w:tr w:rsidR="002033A5" w:rsidRPr="00E619C8" w14:paraId="3F3D6EF0" w14:textId="77777777">
        <w:trPr>
          <w:trHeight w:val="845"/>
        </w:trPr>
        <w:tc>
          <w:tcPr>
            <w:tcW w:w="690" w:type="dxa"/>
            <w:tcBorders>
              <w:top w:val="single" w:sz="8" w:space="0" w:color="000000"/>
              <w:left w:val="single" w:sz="8" w:space="0" w:color="000000"/>
              <w:bottom w:val="single" w:sz="8" w:space="0" w:color="000000"/>
              <w:right w:val="single" w:sz="8" w:space="0" w:color="000000"/>
            </w:tcBorders>
            <w:shd w:val="clear" w:color="auto" w:fill="C00000"/>
            <w:tcMar>
              <w:top w:w="100" w:type="dxa"/>
              <w:left w:w="80" w:type="dxa"/>
              <w:bottom w:w="100" w:type="dxa"/>
              <w:right w:w="80" w:type="dxa"/>
            </w:tcMar>
          </w:tcPr>
          <w:p w14:paraId="22216FB0" w14:textId="77777777" w:rsidR="002033A5" w:rsidRPr="00E619C8" w:rsidRDefault="00E113EC">
            <w:pPr>
              <w:spacing w:after="160" w:line="276" w:lineRule="auto"/>
              <w:ind w:left="-180"/>
              <w:jc w:val="center"/>
              <w:rPr>
                <w:rFonts w:ascii="Arial" w:eastAsia="Arial" w:hAnsi="Arial" w:cs="Arial"/>
                <w:b/>
                <w:bCs/>
                <w:color w:val="FFFFFF"/>
                <w:sz w:val="14"/>
                <w:szCs w:val="14"/>
              </w:rPr>
            </w:pPr>
            <w:r w:rsidRPr="00E619C8">
              <w:rPr>
                <w:rFonts w:ascii="Arial" w:eastAsia="Arial" w:hAnsi="Arial" w:cs="Arial"/>
                <w:b/>
                <w:bCs/>
                <w:color w:val="FFFFFF"/>
                <w:sz w:val="14"/>
                <w:szCs w:val="14"/>
              </w:rPr>
              <w:t>No.</w:t>
            </w:r>
          </w:p>
        </w:tc>
        <w:tc>
          <w:tcPr>
            <w:tcW w:w="855" w:type="dxa"/>
            <w:tcBorders>
              <w:top w:val="single" w:sz="8" w:space="0" w:color="000000"/>
              <w:left w:val="nil"/>
              <w:bottom w:val="single" w:sz="8" w:space="0" w:color="000000"/>
              <w:right w:val="single" w:sz="8" w:space="0" w:color="000000"/>
            </w:tcBorders>
            <w:shd w:val="clear" w:color="auto" w:fill="C00000"/>
            <w:tcMar>
              <w:top w:w="100" w:type="dxa"/>
              <w:left w:w="80" w:type="dxa"/>
              <w:bottom w:w="100" w:type="dxa"/>
              <w:right w:w="80" w:type="dxa"/>
            </w:tcMar>
          </w:tcPr>
          <w:p w14:paraId="77C67EE9" w14:textId="77777777" w:rsidR="002033A5" w:rsidRPr="00E619C8" w:rsidRDefault="00E113EC">
            <w:pPr>
              <w:spacing w:after="160" w:line="276" w:lineRule="auto"/>
              <w:ind w:left="-12"/>
              <w:jc w:val="center"/>
              <w:rPr>
                <w:rFonts w:ascii="Arial" w:eastAsia="Arial" w:hAnsi="Arial" w:cs="Arial"/>
                <w:b/>
                <w:bCs/>
                <w:color w:val="FFFFFF"/>
                <w:sz w:val="14"/>
                <w:szCs w:val="14"/>
              </w:rPr>
            </w:pPr>
            <w:r w:rsidRPr="00E619C8">
              <w:rPr>
                <w:rFonts w:ascii="Arial" w:eastAsia="Arial" w:hAnsi="Arial" w:cs="Arial"/>
                <w:b/>
                <w:bCs/>
                <w:color w:val="FFFFFF"/>
                <w:sz w:val="14"/>
                <w:szCs w:val="14"/>
              </w:rPr>
              <w:t>Level</w:t>
            </w:r>
          </w:p>
        </w:tc>
        <w:tc>
          <w:tcPr>
            <w:tcW w:w="1140" w:type="dxa"/>
            <w:tcBorders>
              <w:top w:val="single" w:sz="8" w:space="0" w:color="000000"/>
              <w:left w:val="nil"/>
              <w:bottom w:val="single" w:sz="8" w:space="0" w:color="000000"/>
              <w:right w:val="single" w:sz="8" w:space="0" w:color="000000"/>
            </w:tcBorders>
            <w:shd w:val="clear" w:color="auto" w:fill="C00000"/>
            <w:tcMar>
              <w:top w:w="100" w:type="dxa"/>
              <w:left w:w="80" w:type="dxa"/>
              <w:bottom w:w="100" w:type="dxa"/>
              <w:right w:w="80" w:type="dxa"/>
            </w:tcMar>
          </w:tcPr>
          <w:p w14:paraId="14FFB7E5" w14:textId="77777777" w:rsidR="002033A5" w:rsidRPr="00E619C8" w:rsidRDefault="00E113EC">
            <w:pPr>
              <w:spacing w:after="160" w:line="276" w:lineRule="auto"/>
              <w:jc w:val="center"/>
              <w:rPr>
                <w:rFonts w:ascii="Arial" w:eastAsia="Arial" w:hAnsi="Arial" w:cs="Arial"/>
                <w:b/>
                <w:bCs/>
                <w:color w:val="FFFFFF"/>
                <w:sz w:val="14"/>
                <w:szCs w:val="14"/>
              </w:rPr>
            </w:pPr>
            <w:r w:rsidRPr="00E619C8">
              <w:rPr>
                <w:rFonts w:ascii="Arial" w:eastAsia="Arial" w:hAnsi="Arial" w:cs="Arial"/>
                <w:b/>
                <w:bCs/>
                <w:color w:val="FFFFFF"/>
                <w:sz w:val="14"/>
                <w:szCs w:val="14"/>
              </w:rPr>
              <w:t>Name</w:t>
            </w:r>
          </w:p>
        </w:tc>
        <w:tc>
          <w:tcPr>
            <w:tcW w:w="1710" w:type="dxa"/>
            <w:tcBorders>
              <w:top w:val="single" w:sz="8" w:space="0" w:color="000000"/>
              <w:left w:val="nil"/>
              <w:bottom w:val="single" w:sz="8" w:space="0" w:color="000000"/>
              <w:right w:val="single" w:sz="8" w:space="0" w:color="000000"/>
            </w:tcBorders>
            <w:shd w:val="clear" w:color="auto" w:fill="C00000"/>
            <w:tcMar>
              <w:top w:w="100" w:type="dxa"/>
              <w:left w:w="80" w:type="dxa"/>
              <w:bottom w:w="100" w:type="dxa"/>
              <w:right w:w="80" w:type="dxa"/>
            </w:tcMar>
          </w:tcPr>
          <w:p w14:paraId="313E7A6C" w14:textId="77777777" w:rsidR="002033A5" w:rsidRPr="00E619C8" w:rsidRDefault="00E113EC">
            <w:pPr>
              <w:spacing w:after="160" w:line="276" w:lineRule="auto"/>
              <w:jc w:val="center"/>
              <w:rPr>
                <w:rFonts w:ascii="Arial" w:eastAsia="Arial" w:hAnsi="Arial" w:cs="Arial"/>
                <w:b/>
                <w:bCs/>
                <w:color w:val="FFFFFF"/>
                <w:sz w:val="14"/>
                <w:szCs w:val="14"/>
              </w:rPr>
            </w:pPr>
            <w:r w:rsidRPr="00E619C8">
              <w:rPr>
                <w:rFonts w:ascii="Arial" w:eastAsia="Arial" w:hAnsi="Arial" w:cs="Arial"/>
                <w:b/>
                <w:bCs/>
                <w:color w:val="FFFFFF"/>
                <w:sz w:val="14"/>
                <w:szCs w:val="14"/>
              </w:rPr>
              <w:t>Description</w:t>
            </w:r>
          </w:p>
        </w:tc>
        <w:tc>
          <w:tcPr>
            <w:tcW w:w="855" w:type="dxa"/>
            <w:tcBorders>
              <w:top w:val="single" w:sz="8" w:space="0" w:color="000000"/>
              <w:left w:val="nil"/>
              <w:bottom w:val="single" w:sz="8" w:space="0" w:color="000000"/>
              <w:right w:val="single" w:sz="8" w:space="0" w:color="000000"/>
            </w:tcBorders>
            <w:shd w:val="clear" w:color="auto" w:fill="C00000"/>
            <w:tcMar>
              <w:top w:w="100" w:type="dxa"/>
              <w:left w:w="80" w:type="dxa"/>
              <w:bottom w:w="100" w:type="dxa"/>
              <w:right w:w="80" w:type="dxa"/>
            </w:tcMar>
          </w:tcPr>
          <w:p w14:paraId="44EB5DD9" w14:textId="77777777" w:rsidR="002033A5" w:rsidRPr="00E619C8" w:rsidRDefault="00E113EC">
            <w:pPr>
              <w:spacing w:after="160" w:line="276" w:lineRule="auto"/>
              <w:jc w:val="center"/>
              <w:rPr>
                <w:rFonts w:ascii="Arial" w:eastAsia="Arial" w:hAnsi="Arial" w:cs="Arial"/>
                <w:b/>
                <w:bCs/>
                <w:color w:val="FFFFFF"/>
                <w:sz w:val="14"/>
                <w:szCs w:val="14"/>
              </w:rPr>
            </w:pPr>
            <w:r w:rsidRPr="00E619C8">
              <w:rPr>
                <w:rFonts w:ascii="Arial" w:eastAsia="Arial" w:hAnsi="Arial" w:cs="Arial"/>
                <w:b/>
                <w:bCs/>
                <w:color w:val="FFFFFF"/>
                <w:sz w:val="14"/>
                <w:szCs w:val="14"/>
              </w:rPr>
              <w:t>Indicator evaluation source</w:t>
            </w:r>
          </w:p>
        </w:tc>
        <w:tc>
          <w:tcPr>
            <w:tcW w:w="1950" w:type="dxa"/>
            <w:tcBorders>
              <w:top w:val="single" w:sz="8" w:space="0" w:color="000000"/>
              <w:left w:val="nil"/>
              <w:bottom w:val="single" w:sz="8" w:space="0" w:color="000000"/>
              <w:right w:val="single" w:sz="8" w:space="0" w:color="000000"/>
            </w:tcBorders>
            <w:shd w:val="clear" w:color="auto" w:fill="C00000"/>
            <w:tcMar>
              <w:top w:w="100" w:type="dxa"/>
              <w:left w:w="80" w:type="dxa"/>
              <w:bottom w:w="100" w:type="dxa"/>
              <w:right w:w="80" w:type="dxa"/>
            </w:tcMar>
          </w:tcPr>
          <w:p w14:paraId="147C14CB" w14:textId="77777777" w:rsidR="002033A5" w:rsidRPr="00E619C8" w:rsidRDefault="00E113EC">
            <w:pPr>
              <w:spacing w:after="160" w:line="276" w:lineRule="auto"/>
              <w:jc w:val="center"/>
              <w:rPr>
                <w:rFonts w:ascii="Arial" w:eastAsia="Arial" w:hAnsi="Arial" w:cs="Arial"/>
                <w:b/>
                <w:bCs/>
                <w:color w:val="FFFFFF"/>
                <w:sz w:val="14"/>
                <w:szCs w:val="14"/>
              </w:rPr>
            </w:pPr>
            <w:r w:rsidRPr="00E619C8">
              <w:rPr>
                <w:rFonts w:ascii="Arial" w:eastAsia="Arial" w:hAnsi="Arial" w:cs="Arial"/>
                <w:b/>
                <w:bCs/>
                <w:color w:val="FFFFFF"/>
                <w:sz w:val="14"/>
                <w:szCs w:val="14"/>
              </w:rPr>
              <w:t>Indicator scoring scale (0 points = 0, 1 point = 0.2, 2 points = 0.4, 3 points = 0.6, 4 points = 0.8, 5 points = 1)</w:t>
            </w:r>
          </w:p>
        </w:tc>
        <w:tc>
          <w:tcPr>
            <w:tcW w:w="900" w:type="dxa"/>
            <w:tcBorders>
              <w:top w:val="single" w:sz="8" w:space="0" w:color="000000"/>
              <w:left w:val="nil"/>
              <w:bottom w:val="single" w:sz="8" w:space="0" w:color="000000"/>
              <w:right w:val="single" w:sz="8" w:space="0" w:color="000000"/>
            </w:tcBorders>
            <w:shd w:val="clear" w:color="auto" w:fill="C00000"/>
            <w:tcMar>
              <w:top w:w="100" w:type="dxa"/>
              <w:left w:w="80" w:type="dxa"/>
              <w:bottom w:w="100" w:type="dxa"/>
              <w:right w:w="80" w:type="dxa"/>
            </w:tcMar>
          </w:tcPr>
          <w:p w14:paraId="773663BE" w14:textId="77777777" w:rsidR="002033A5" w:rsidRPr="00E619C8" w:rsidRDefault="00E113EC">
            <w:pPr>
              <w:spacing w:after="160" w:line="276" w:lineRule="auto"/>
              <w:jc w:val="center"/>
              <w:rPr>
                <w:rFonts w:ascii="Arial" w:eastAsia="Arial" w:hAnsi="Arial" w:cs="Arial"/>
                <w:b/>
                <w:bCs/>
                <w:color w:val="FFFFFF"/>
                <w:sz w:val="14"/>
                <w:szCs w:val="14"/>
              </w:rPr>
            </w:pPr>
            <w:r w:rsidRPr="00E619C8">
              <w:rPr>
                <w:rFonts w:ascii="Arial" w:eastAsia="Arial" w:hAnsi="Arial" w:cs="Arial"/>
                <w:b/>
                <w:bCs/>
                <w:color w:val="FFFFFF"/>
                <w:sz w:val="14"/>
                <w:szCs w:val="14"/>
              </w:rPr>
              <w:t>Weighting</w:t>
            </w:r>
          </w:p>
        </w:tc>
        <w:tc>
          <w:tcPr>
            <w:tcW w:w="930" w:type="dxa"/>
            <w:tcBorders>
              <w:top w:val="single" w:sz="8" w:space="0" w:color="000000"/>
              <w:left w:val="nil"/>
              <w:bottom w:val="single" w:sz="8" w:space="0" w:color="000000"/>
              <w:right w:val="single" w:sz="8" w:space="0" w:color="000000"/>
            </w:tcBorders>
            <w:shd w:val="clear" w:color="auto" w:fill="C00000"/>
            <w:tcMar>
              <w:top w:w="100" w:type="dxa"/>
              <w:left w:w="80" w:type="dxa"/>
              <w:bottom w:w="100" w:type="dxa"/>
              <w:right w:w="80" w:type="dxa"/>
            </w:tcMar>
          </w:tcPr>
          <w:p w14:paraId="7C9D7278" w14:textId="77777777" w:rsidR="002033A5" w:rsidRPr="00E619C8" w:rsidRDefault="00E113EC">
            <w:pPr>
              <w:spacing w:after="160" w:line="276" w:lineRule="auto"/>
              <w:jc w:val="center"/>
              <w:rPr>
                <w:rFonts w:ascii="Arial" w:eastAsia="Arial" w:hAnsi="Arial" w:cs="Arial"/>
                <w:b/>
                <w:bCs/>
                <w:color w:val="FFFFFF"/>
                <w:sz w:val="14"/>
                <w:szCs w:val="14"/>
              </w:rPr>
            </w:pPr>
            <w:r w:rsidRPr="00E619C8">
              <w:rPr>
                <w:rFonts w:ascii="Arial" w:eastAsia="Arial" w:hAnsi="Arial" w:cs="Arial"/>
                <w:b/>
                <w:bCs/>
                <w:color w:val="FFFFFF"/>
                <w:sz w:val="14"/>
                <w:szCs w:val="14"/>
              </w:rPr>
              <w:t>Indicator type</w:t>
            </w:r>
          </w:p>
        </w:tc>
      </w:tr>
      <w:tr w:rsidR="002033A5" w:rsidRPr="00E619C8" w14:paraId="1EC92D04" w14:textId="77777777">
        <w:trPr>
          <w:trHeight w:val="1435"/>
        </w:trPr>
        <w:tc>
          <w:tcPr>
            <w:tcW w:w="690" w:type="dxa"/>
            <w:tcBorders>
              <w:top w:val="nil"/>
              <w:left w:val="single" w:sz="8" w:space="0" w:color="000000"/>
              <w:bottom w:val="single" w:sz="8" w:space="0" w:color="000000"/>
              <w:right w:val="single" w:sz="8" w:space="0" w:color="000000"/>
            </w:tcBorders>
            <w:shd w:val="clear" w:color="auto" w:fill="808080"/>
            <w:tcMar>
              <w:top w:w="100" w:type="dxa"/>
              <w:left w:w="80" w:type="dxa"/>
              <w:bottom w:w="100" w:type="dxa"/>
              <w:right w:w="80" w:type="dxa"/>
            </w:tcMar>
          </w:tcPr>
          <w:p w14:paraId="32D5C514" w14:textId="77777777" w:rsidR="002033A5" w:rsidRPr="00E619C8" w:rsidRDefault="00E113EC">
            <w:pPr>
              <w:spacing w:after="160" w:line="276" w:lineRule="auto"/>
              <w:ind w:left="-180"/>
              <w:jc w:val="center"/>
              <w:rPr>
                <w:rFonts w:ascii="Arial" w:eastAsia="Arial" w:hAnsi="Arial" w:cs="Arial"/>
                <w:color w:val="FFFFFF"/>
                <w:sz w:val="12"/>
                <w:szCs w:val="12"/>
              </w:rPr>
            </w:pPr>
            <w:r w:rsidRPr="00E619C8">
              <w:rPr>
                <w:rFonts w:ascii="Arial" w:eastAsia="Arial" w:hAnsi="Arial" w:cs="Arial"/>
                <w:color w:val="FFFFFF"/>
                <w:sz w:val="12"/>
                <w:szCs w:val="12"/>
              </w:rPr>
              <w:t>1</w:t>
            </w:r>
          </w:p>
        </w:tc>
        <w:tc>
          <w:tcPr>
            <w:tcW w:w="855"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4DF66C94" w14:textId="77777777" w:rsidR="002033A5" w:rsidRPr="00E619C8" w:rsidRDefault="00E113EC">
            <w:pPr>
              <w:spacing w:after="160" w:line="276" w:lineRule="auto"/>
              <w:ind w:left="-12"/>
              <w:jc w:val="both"/>
              <w:rPr>
                <w:rFonts w:ascii="Arial" w:eastAsia="Arial" w:hAnsi="Arial" w:cs="Arial"/>
                <w:color w:val="FFFFFF"/>
                <w:sz w:val="12"/>
                <w:szCs w:val="12"/>
              </w:rPr>
            </w:pPr>
            <w:r w:rsidRPr="00E619C8">
              <w:rPr>
                <w:rFonts w:ascii="Arial" w:eastAsia="Arial" w:hAnsi="Arial" w:cs="Arial"/>
                <w:color w:val="FFFFFF"/>
                <w:sz w:val="12"/>
                <w:szCs w:val="12"/>
              </w:rPr>
              <w:t>Dimension</w:t>
            </w:r>
          </w:p>
        </w:tc>
        <w:tc>
          <w:tcPr>
            <w:tcW w:w="1140"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01B03B38" w14:textId="77777777" w:rsidR="002033A5" w:rsidRPr="00E619C8" w:rsidRDefault="00E113EC">
            <w:pPr>
              <w:spacing w:after="160" w:line="276" w:lineRule="auto"/>
              <w:rPr>
                <w:rFonts w:ascii="Arial" w:eastAsia="Arial" w:hAnsi="Arial" w:cs="Arial"/>
                <w:color w:val="FFFFFF"/>
                <w:sz w:val="12"/>
                <w:szCs w:val="12"/>
              </w:rPr>
            </w:pPr>
            <w:r w:rsidRPr="00E619C8">
              <w:rPr>
                <w:rFonts w:ascii="Arial" w:eastAsia="Arial" w:hAnsi="Arial" w:cs="Arial"/>
                <w:color w:val="FFFFFF"/>
                <w:sz w:val="12"/>
                <w:szCs w:val="12"/>
              </w:rPr>
              <w:t>Enabling environment</w:t>
            </w:r>
          </w:p>
        </w:tc>
        <w:tc>
          <w:tcPr>
            <w:tcW w:w="1710"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60DC7177" w14:textId="708E4279" w:rsidR="002033A5" w:rsidRPr="00E619C8" w:rsidRDefault="00E113EC">
            <w:pPr>
              <w:spacing w:line="276" w:lineRule="auto"/>
              <w:rPr>
                <w:rFonts w:ascii="Arial" w:eastAsia="Arial" w:hAnsi="Arial" w:cs="Arial"/>
                <w:color w:val="FFFFFF"/>
                <w:sz w:val="12"/>
                <w:szCs w:val="12"/>
              </w:rPr>
            </w:pPr>
            <w:r w:rsidRPr="00E619C8">
              <w:rPr>
                <w:rFonts w:ascii="Arial" w:eastAsia="Arial" w:hAnsi="Arial" w:cs="Arial"/>
                <w:color w:val="FFFFFF"/>
                <w:sz w:val="12"/>
                <w:szCs w:val="12"/>
              </w:rPr>
              <w:t>Evaluates national or sub-national conditions enabling transparency for the infrastructure sector</w:t>
            </w:r>
            <w:r w:rsidR="00695E63">
              <w:rPr>
                <w:rFonts w:ascii="Arial" w:eastAsia="Arial" w:hAnsi="Arial" w:cs="Arial"/>
                <w:color w:val="FFFFFF"/>
                <w:sz w:val="12"/>
                <w:szCs w:val="12"/>
              </w:rPr>
              <w:t>,</w:t>
            </w:r>
            <w:r w:rsidRPr="00E619C8">
              <w:rPr>
                <w:rFonts w:ascii="Arial" w:eastAsia="Arial" w:hAnsi="Arial" w:cs="Arial"/>
                <w:color w:val="FFFFFF"/>
                <w:sz w:val="12"/>
                <w:szCs w:val="12"/>
              </w:rPr>
              <w:t xml:space="preserve"> considering the legal and regulatory framework and the centralised digital information tools.</w:t>
            </w:r>
          </w:p>
        </w:tc>
        <w:tc>
          <w:tcPr>
            <w:tcW w:w="855"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03F9BCD3" w14:textId="77777777" w:rsidR="002033A5" w:rsidRPr="00E619C8" w:rsidRDefault="00E113EC">
            <w:pPr>
              <w:spacing w:after="160" w:line="276" w:lineRule="auto"/>
              <w:rPr>
                <w:rFonts w:ascii="Arial" w:eastAsia="Arial" w:hAnsi="Arial" w:cs="Arial"/>
                <w:color w:val="FFFFFF"/>
                <w:sz w:val="12"/>
                <w:szCs w:val="12"/>
              </w:rPr>
            </w:pPr>
            <w:r w:rsidRPr="00E619C8">
              <w:rPr>
                <w:rFonts w:ascii="Arial" w:eastAsia="Arial" w:hAnsi="Arial" w:cs="Arial"/>
                <w:color w:val="FFFFFF"/>
                <w:sz w:val="12"/>
                <w:szCs w:val="12"/>
              </w:rPr>
              <w:t xml:space="preserve"> </w:t>
            </w:r>
          </w:p>
        </w:tc>
        <w:tc>
          <w:tcPr>
            <w:tcW w:w="1950"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1ECDA5EC" w14:textId="77777777" w:rsidR="002033A5" w:rsidRPr="00E619C8" w:rsidRDefault="00E113EC">
            <w:pPr>
              <w:spacing w:line="276" w:lineRule="auto"/>
              <w:rPr>
                <w:rFonts w:ascii="Arial" w:eastAsia="Arial" w:hAnsi="Arial" w:cs="Arial"/>
                <w:color w:val="FFFFFF"/>
                <w:sz w:val="12"/>
                <w:szCs w:val="12"/>
              </w:rPr>
            </w:pPr>
            <w:r w:rsidRPr="00E619C8">
              <w:rPr>
                <w:rFonts w:ascii="Arial" w:eastAsia="Arial" w:hAnsi="Arial" w:cs="Arial"/>
                <w:color w:val="FFFFFF"/>
                <w:sz w:val="12"/>
                <w:szCs w:val="12"/>
              </w:rPr>
              <w:t>The indicators of this dimension are evaluated just once at the national or sub-national level.</w:t>
            </w:r>
          </w:p>
        </w:tc>
        <w:tc>
          <w:tcPr>
            <w:tcW w:w="900"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52631C36" w14:textId="77777777" w:rsidR="002033A5" w:rsidRPr="00E619C8" w:rsidRDefault="00E113EC">
            <w:pPr>
              <w:spacing w:after="160" w:line="276" w:lineRule="auto"/>
              <w:jc w:val="center"/>
              <w:rPr>
                <w:rFonts w:ascii="Arial" w:eastAsia="Arial" w:hAnsi="Arial" w:cs="Arial"/>
                <w:color w:val="FFFFFF"/>
                <w:sz w:val="12"/>
                <w:szCs w:val="12"/>
              </w:rPr>
            </w:pPr>
            <w:r w:rsidRPr="00E619C8">
              <w:rPr>
                <w:rFonts w:ascii="Arial" w:eastAsia="Arial" w:hAnsi="Arial" w:cs="Arial"/>
                <w:color w:val="FFFFFF"/>
                <w:sz w:val="12"/>
                <w:szCs w:val="12"/>
              </w:rPr>
              <w:t>0.20 when calculating the national or sub-national ITI score</w:t>
            </w:r>
          </w:p>
          <w:p w14:paraId="3F3E166A" w14:textId="77777777" w:rsidR="002033A5" w:rsidRPr="00E619C8" w:rsidRDefault="00E113EC">
            <w:pPr>
              <w:spacing w:line="276" w:lineRule="auto"/>
              <w:jc w:val="center"/>
              <w:rPr>
                <w:rFonts w:ascii="Arial" w:eastAsia="Arial" w:hAnsi="Arial" w:cs="Arial"/>
                <w:color w:val="FFFFFF"/>
                <w:sz w:val="12"/>
                <w:szCs w:val="12"/>
              </w:rPr>
            </w:pPr>
            <w:r w:rsidRPr="00E619C8">
              <w:rPr>
                <w:rFonts w:ascii="Arial" w:eastAsia="Arial" w:hAnsi="Arial" w:cs="Arial"/>
                <w:color w:val="FFFFFF"/>
                <w:sz w:val="12"/>
                <w:szCs w:val="12"/>
              </w:rPr>
              <w:t>0.00 when calculating the procuring entity score (i.e. not used)</w:t>
            </w:r>
          </w:p>
        </w:tc>
        <w:tc>
          <w:tcPr>
            <w:tcW w:w="930"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4BEEAF55" w14:textId="77777777" w:rsidR="002033A5" w:rsidRPr="00E619C8" w:rsidRDefault="002033A5">
            <w:pPr>
              <w:spacing w:after="160" w:line="300" w:lineRule="auto"/>
              <w:jc w:val="both"/>
              <w:rPr>
                <w:rFonts w:ascii="Arial" w:eastAsia="Arial" w:hAnsi="Arial" w:cs="Arial"/>
                <w:sz w:val="12"/>
                <w:szCs w:val="12"/>
              </w:rPr>
            </w:pPr>
          </w:p>
        </w:tc>
      </w:tr>
      <w:tr w:rsidR="002033A5" w:rsidRPr="00E619C8" w14:paraId="5DCC1870" w14:textId="77777777">
        <w:trPr>
          <w:trHeight w:val="90"/>
        </w:trPr>
        <w:tc>
          <w:tcPr>
            <w:tcW w:w="690" w:type="dxa"/>
            <w:tcBorders>
              <w:top w:val="nil"/>
              <w:left w:val="single" w:sz="8" w:space="0" w:color="000000"/>
              <w:bottom w:val="single" w:sz="8" w:space="0" w:color="000000"/>
              <w:right w:val="single" w:sz="8" w:space="0" w:color="000000"/>
            </w:tcBorders>
            <w:shd w:val="clear" w:color="auto" w:fill="A6A6A6"/>
            <w:tcMar>
              <w:top w:w="100" w:type="dxa"/>
              <w:left w:w="80" w:type="dxa"/>
              <w:bottom w:w="100" w:type="dxa"/>
              <w:right w:w="80" w:type="dxa"/>
            </w:tcMar>
          </w:tcPr>
          <w:p w14:paraId="26D0C3D4"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1.1</w:t>
            </w:r>
          </w:p>
        </w:tc>
        <w:tc>
          <w:tcPr>
            <w:tcW w:w="855"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31F55988"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Variable</w:t>
            </w:r>
          </w:p>
        </w:tc>
        <w:tc>
          <w:tcPr>
            <w:tcW w:w="114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2C78951E" w14:textId="77777777" w:rsidR="002033A5" w:rsidRPr="00E619C8" w:rsidRDefault="00E113EC">
            <w:pPr>
              <w:spacing w:after="160" w:line="276" w:lineRule="auto"/>
              <w:rPr>
                <w:rFonts w:ascii="Arial" w:eastAsia="Arial" w:hAnsi="Arial" w:cs="Arial"/>
                <w:sz w:val="12"/>
                <w:szCs w:val="12"/>
              </w:rPr>
            </w:pPr>
            <w:r w:rsidRPr="00E619C8">
              <w:rPr>
                <w:rFonts w:ascii="Arial" w:eastAsia="Arial" w:hAnsi="Arial" w:cs="Arial"/>
                <w:sz w:val="12"/>
                <w:szCs w:val="12"/>
              </w:rPr>
              <w:t>Legal framework and digital tools</w:t>
            </w:r>
          </w:p>
        </w:tc>
        <w:tc>
          <w:tcPr>
            <w:tcW w:w="171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28FD6A27" w14:textId="77777777" w:rsidR="002033A5" w:rsidRPr="00E619C8" w:rsidRDefault="002033A5">
            <w:pPr>
              <w:spacing w:line="300" w:lineRule="auto"/>
              <w:rPr>
                <w:rFonts w:ascii="Arial" w:eastAsia="Arial" w:hAnsi="Arial" w:cs="Arial"/>
                <w:sz w:val="12"/>
                <w:szCs w:val="12"/>
              </w:rPr>
            </w:pPr>
          </w:p>
        </w:tc>
        <w:tc>
          <w:tcPr>
            <w:tcW w:w="855"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1CDE343C" w14:textId="77777777" w:rsidR="002033A5" w:rsidRPr="00E619C8" w:rsidRDefault="002033A5">
            <w:pPr>
              <w:spacing w:after="160" w:line="300" w:lineRule="auto"/>
              <w:rPr>
                <w:rFonts w:ascii="Arial" w:eastAsia="Arial" w:hAnsi="Arial" w:cs="Arial"/>
                <w:sz w:val="12"/>
                <w:szCs w:val="12"/>
              </w:rPr>
            </w:pPr>
          </w:p>
        </w:tc>
        <w:tc>
          <w:tcPr>
            <w:tcW w:w="195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1386A203" w14:textId="77777777" w:rsidR="002033A5" w:rsidRPr="00E619C8" w:rsidRDefault="002033A5">
            <w:pPr>
              <w:spacing w:line="300" w:lineRule="auto"/>
              <w:rPr>
                <w:rFonts w:ascii="Arial" w:eastAsia="Arial" w:hAnsi="Arial" w:cs="Arial"/>
                <w:sz w:val="12"/>
                <w:szCs w:val="12"/>
              </w:rPr>
            </w:pPr>
          </w:p>
        </w:tc>
        <w:tc>
          <w:tcPr>
            <w:tcW w:w="90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2F021A1E"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1.00</w:t>
            </w:r>
          </w:p>
        </w:tc>
        <w:tc>
          <w:tcPr>
            <w:tcW w:w="93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7EB0C03E" w14:textId="77777777" w:rsidR="002033A5" w:rsidRPr="00E619C8" w:rsidRDefault="002033A5">
            <w:pPr>
              <w:spacing w:after="160" w:line="300" w:lineRule="auto"/>
              <w:jc w:val="both"/>
              <w:rPr>
                <w:rFonts w:ascii="Arial" w:eastAsia="Arial" w:hAnsi="Arial" w:cs="Arial"/>
                <w:sz w:val="12"/>
                <w:szCs w:val="12"/>
              </w:rPr>
            </w:pPr>
          </w:p>
        </w:tc>
      </w:tr>
      <w:tr w:rsidR="002033A5" w:rsidRPr="00E619C8" w14:paraId="2EBB2C7F" w14:textId="77777777">
        <w:trPr>
          <w:trHeight w:val="1160"/>
        </w:trPr>
        <w:tc>
          <w:tcPr>
            <w:tcW w:w="690" w:type="dxa"/>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79D25B93"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1.1.1</w:t>
            </w:r>
          </w:p>
        </w:tc>
        <w:tc>
          <w:tcPr>
            <w:tcW w:w="855"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160FFCE8"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Sub-variable</w:t>
            </w:r>
          </w:p>
        </w:tc>
        <w:tc>
          <w:tcPr>
            <w:tcW w:w="1140"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7E661656" w14:textId="3B0126F4"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 xml:space="preserve">Access to </w:t>
            </w:r>
            <w:r w:rsidR="00366E03">
              <w:rPr>
                <w:rFonts w:ascii="Arial" w:eastAsia="Arial" w:hAnsi="Arial" w:cs="Arial"/>
                <w:sz w:val="12"/>
                <w:szCs w:val="12"/>
              </w:rPr>
              <w:t xml:space="preserve">the </w:t>
            </w:r>
            <w:r w:rsidRPr="00E619C8">
              <w:rPr>
                <w:rFonts w:ascii="Arial" w:eastAsia="Arial" w:hAnsi="Arial" w:cs="Arial"/>
                <w:sz w:val="12"/>
                <w:szCs w:val="12"/>
              </w:rPr>
              <w:t>public information regulatory framework</w:t>
            </w:r>
          </w:p>
        </w:tc>
        <w:tc>
          <w:tcPr>
            <w:tcW w:w="171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2D73DB14"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Evaluates the existence of a national regulation on access to public information, or other related regulation, relevant to the infrastructure sector.</w:t>
            </w:r>
          </w:p>
        </w:tc>
        <w:tc>
          <w:tcPr>
            <w:tcW w:w="855"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0A84F14" w14:textId="77777777" w:rsidR="002033A5" w:rsidRPr="00E619C8" w:rsidRDefault="002033A5">
            <w:pPr>
              <w:pBdr>
                <w:top w:val="nil"/>
                <w:left w:val="nil"/>
                <w:bottom w:val="nil"/>
                <w:right w:val="nil"/>
                <w:between w:val="nil"/>
              </w:pBdr>
              <w:spacing w:after="160" w:line="276" w:lineRule="auto"/>
              <w:rPr>
                <w:rFonts w:ascii="Arial" w:eastAsia="Arial" w:hAnsi="Arial" w:cs="Arial"/>
                <w:sz w:val="12"/>
                <w:szCs w:val="12"/>
              </w:rPr>
            </w:pPr>
          </w:p>
        </w:tc>
        <w:tc>
          <w:tcPr>
            <w:tcW w:w="195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63EE90AC"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90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2311197"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0.30</w:t>
            </w:r>
          </w:p>
        </w:tc>
        <w:tc>
          <w:tcPr>
            <w:tcW w:w="930"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3F7CB867" w14:textId="77777777" w:rsidR="002033A5" w:rsidRPr="00E619C8" w:rsidRDefault="002033A5">
            <w:pPr>
              <w:keepNext/>
              <w:keepLines/>
              <w:pBdr>
                <w:top w:val="nil"/>
                <w:left w:val="nil"/>
                <w:bottom w:val="nil"/>
                <w:right w:val="nil"/>
                <w:between w:val="nil"/>
              </w:pBdr>
              <w:spacing w:before="120" w:after="240" w:line="276" w:lineRule="auto"/>
              <w:rPr>
                <w:rFonts w:ascii="Arial" w:eastAsia="Arial" w:hAnsi="Arial" w:cs="Arial"/>
                <w:b/>
                <w:bCs/>
                <w:color w:val="C00000"/>
                <w:sz w:val="48"/>
                <w:szCs w:val="48"/>
              </w:rPr>
            </w:pPr>
            <w:bookmarkStart w:id="38" w:name="_heading=h.jlslez3z40d0" w:colFirst="0" w:colLast="0"/>
            <w:bookmarkEnd w:id="38"/>
          </w:p>
        </w:tc>
      </w:tr>
      <w:tr w:rsidR="002033A5" w:rsidRPr="00E619C8" w14:paraId="2F5C9137" w14:textId="77777777">
        <w:trPr>
          <w:trHeight w:val="1382"/>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DA6DF3F"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1.1.1.1</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65CF6F4B"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61ED704D"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Access-to-public information regulatory framework</w:t>
            </w:r>
          </w:p>
        </w:tc>
        <w:tc>
          <w:tcPr>
            <w:tcW w:w="1710" w:type="dxa"/>
            <w:tcBorders>
              <w:bottom w:val="single" w:sz="6" w:space="0" w:color="000000"/>
              <w:right w:val="single" w:sz="6" w:space="0" w:color="000000"/>
            </w:tcBorders>
            <w:tcMar>
              <w:top w:w="40" w:type="dxa"/>
              <w:left w:w="40" w:type="dxa"/>
              <w:bottom w:w="40" w:type="dxa"/>
              <w:right w:w="40" w:type="dxa"/>
            </w:tcMar>
          </w:tcPr>
          <w:p w14:paraId="6CFA34ED" w14:textId="21778E10"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There is a regulatory framework that guarantees </w:t>
            </w:r>
            <w:r w:rsidR="00366E03">
              <w:rPr>
                <w:rFonts w:ascii="Arial" w:eastAsia="Arial" w:hAnsi="Arial" w:cs="Arial"/>
                <w:sz w:val="12"/>
                <w:szCs w:val="12"/>
              </w:rPr>
              <w:t xml:space="preserve">access to public information in all public sector institutions, which applies to all material held by or on behalf of public authorities, with only a </w:t>
            </w:r>
            <w:r w:rsidRPr="00E619C8">
              <w:rPr>
                <w:rFonts w:ascii="Arial" w:eastAsia="Arial" w:hAnsi="Arial" w:cs="Arial"/>
                <w:sz w:val="12"/>
                <w:szCs w:val="12"/>
              </w:rPr>
              <w:t>few exceptions contained in the same law.</w:t>
            </w:r>
          </w:p>
        </w:tc>
        <w:tc>
          <w:tcPr>
            <w:tcW w:w="855" w:type="dxa"/>
            <w:tcBorders>
              <w:bottom w:val="single" w:sz="6" w:space="0" w:color="000000"/>
              <w:right w:val="single" w:sz="6" w:space="0" w:color="000000"/>
            </w:tcBorders>
            <w:tcMar>
              <w:top w:w="40" w:type="dxa"/>
              <w:left w:w="40" w:type="dxa"/>
              <w:bottom w:w="40" w:type="dxa"/>
              <w:right w:w="40" w:type="dxa"/>
            </w:tcMar>
          </w:tcPr>
          <w:p w14:paraId="55CD6B12"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Official websites on national legislation</w:t>
            </w:r>
          </w:p>
        </w:tc>
        <w:tc>
          <w:tcPr>
            <w:tcW w:w="1950" w:type="dxa"/>
            <w:tcBorders>
              <w:bottom w:val="single" w:sz="6" w:space="0" w:color="000000"/>
              <w:right w:val="single" w:sz="6" w:space="0" w:color="000000"/>
            </w:tcBorders>
            <w:tcMar>
              <w:top w:w="40" w:type="dxa"/>
              <w:left w:w="40" w:type="dxa"/>
              <w:bottom w:w="40" w:type="dxa"/>
              <w:right w:w="40" w:type="dxa"/>
            </w:tcMar>
          </w:tcPr>
          <w:p w14:paraId="44917EDC"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 regulation does not exist; 2 = It exists, but based on the text does not apply to all public institutions and does not apply to all material; 3 = It exists and complies with only one of the two previous conditions; 5 = It exists and complies with the two conditions.</w:t>
            </w:r>
          </w:p>
        </w:tc>
        <w:tc>
          <w:tcPr>
            <w:tcW w:w="900" w:type="dxa"/>
            <w:tcBorders>
              <w:bottom w:val="single" w:sz="6" w:space="0" w:color="000000"/>
              <w:right w:val="single" w:sz="6" w:space="0" w:color="000000"/>
            </w:tcBorders>
            <w:tcMar>
              <w:top w:w="40" w:type="dxa"/>
              <w:left w:w="40" w:type="dxa"/>
              <w:bottom w:w="40" w:type="dxa"/>
              <w:right w:w="40" w:type="dxa"/>
            </w:tcMar>
          </w:tcPr>
          <w:p w14:paraId="1CBC984A"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0A2B049C"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National or sub-national</w:t>
            </w:r>
          </w:p>
        </w:tc>
      </w:tr>
      <w:tr w:rsidR="002033A5" w:rsidRPr="00E619C8" w14:paraId="52700E6A" w14:textId="77777777">
        <w:trPr>
          <w:trHeight w:val="198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D3BBBD5"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1.1.1.2</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47A18D7B"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1BBD7CE1"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Right to request public information</w:t>
            </w:r>
          </w:p>
        </w:tc>
        <w:tc>
          <w:tcPr>
            <w:tcW w:w="1710" w:type="dxa"/>
            <w:tcBorders>
              <w:bottom w:val="single" w:sz="6" w:space="0" w:color="000000"/>
              <w:right w:val="single" w:sz="6" w:space="0" w:color="000000"/>
            </w:tcBorders>
            <w:tcMar>
              <w:top w:w="40" w:type="dxa"/>
              <w:left w:w="40" w:type="dxa"/>
              <w:bottom w:w="40" w:type="dxa"/>
              <w:right w:w="40" w:type="dxa"/>
            </w:tcMar>
          </w:tcPr>
          <w:p w14:paraId="4F6C8B5E"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There exists within the national regulatory framework the right of citizens to request and obtain non-published public information with</w:t>
            </w:r>
          </w:p>
          <w:p w14:paraId="122B87DE"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access to both information and records/documents</w:t>
            </w:r>
          </w:p>
          <w:p w14:paraId="2B0806A6"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no need to provide reasons for their requests</w:t>
            </w:r>
          </w:p>
          <w:p w14:paraId="6DF3CE37"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clear maximum timelines</w:t>
            </w:r>
          </w:p>
          <w:p w14:paraId="3D3B11DC"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access to all public institutions.</w:t>
            </w:r>
          </w:p>
        </w:tc>
        <w:tc>
          <w:tcPr>
            <w:tcW w:w="855" w:type="dxa"/>
            <w:tcBorders>
              <w:bottom w:val="single" w:sz="6" w:space="0" w:color="000000"/>
              <w:right w:val="single" w:sz="6" w:space="0" w:color="000000"/>
            </w:tcBorders>
            <w:tcMar>
              <w:top w:w="40" w:type="dxa"/>
              <w:left w:w="40" w:type="dxa"/>
              <w:bottom w:w="40" w:type="dxa"/>
              <w:right w:w="40" w:type="dxa"/>
            </w:tcMar>
          </w:tcPr>
          <w:p w14:paraId="1E2904C2"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Official websites on national legislation</w:t>
            </w:r>
          </w:p>
        </w:tc>
        <w:tc>
          <w:tcPr>
            <w:tcW w:w="1950" w:type="dxa"/>
            <w:tcBorders>
              <w:bottom w:val="single" w:sz="6" w:space="0" w:color="000000"/>
              <w:right w:val="single" w:sz="6" w:space="0" w:color="000000"/>
            </w:tcBorders>
            <w:tcMar>
              <w:top w:w="40" w:type="dxa"/>
              <w:left w:w="40" w:type="dxa"/>
              <w:bottom w:w="40" w:type="dxa"/>
              <w:right w:w="40" w:type="dxa"/>
            </w:tcMar>
          </w:tcPr>
          <w:p w14:paraId="26A8462B"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This provision does not exist in the regulation or there is no regulation of access to information; 1 = The provision to request non-published information exists but none of the four conditions are covered; 2 = The provision exists but only one condition is covered; 3 = The provision and two conditions are covered; 4 = The provision and three conditions are covered; 5 = The provision and the four conditions are covered.</w:t>
            </w:r>
          </w:p>
        </w:tc>
        <w:tc>
          <w:tcPr>
            <w:tcW w:w="900" w:type="dxa"/>
            <w:tcBorders>
              <w:bottom w:val="single" w:sz="6" w:space="0" w:color="000000"/>
              <w:right w:val="single" w:sz="6" w:space="0" w:color="000000"/>
            </w:tcBorders>
            <w:tcMar>
              <w:top w:w="40" w:type="dxa"/>
              <w:left w:w="40" w:type="dxa"/>
              <w:bottom w:w="40" w:type="dxa"/>
              <w:right w:w="40" w:type="dxa"/>
            </w:tcMar>
          </w:tcPr>
          <w:p w14:paraId="2098A23C"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1A949DA2"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National or sub-national</w:t>
            </w:r>
          </w:p>
        </w:tc>
      </w:tr>
      <w:tr w:rsidR="002033A5" w:rsidRPr="00E619C8" w14:paraId="03780B0E" w14:textId="77777777">
        <w:trPr>
          <w:trHeight w:val="115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FE5EC0C"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1.1.1.3</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229D65A6"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0B514A41" w14:textId="32EB3095"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 xml:space="preserve">Sanctions </w:t>
            </w:r>
            <w:r w:rsidR="00366E03">
              <w:rPr>
                <w:rFonts w:ascii="Arial" w:eastAsia="Arial" w:hAnsi="Arial" w:cs="Arial"/>
                <w:sz w:val="12"/>
                <w:szCs w:val="12"/>
              </w:rPr>
              <w:t>for</w:t>
            </w:r>
            <w:r w:rsidRPr="00E619C8">
              <w:rPr>
                <w:rFonts w:ascii="Arial" w:eastAsia="Arial" w:hAnsi="Arial" w:cs="Arial"/>
                <w:sz w:val="12"/>
                <w:szCs w:val="12"/>
              </w:rPr>
              <w:t xml:space="preserve"> non-compliance with access to public information mandates</w:t>
            </w:r>
          </w:p>
        </w:tc>
        <w:tc>
          <w:tcPr>
            <w:tcW w:w="1710" w:type="dxa"/>
            <w:tcBorders>
              <w:bottom w:val="single" w:sz="6" w:space="0" w:color="000000"/>
              <w:right w:val="single" w:sz="6" w:space="0" w:color="000000"/>
            </w:tcBorders>
            <w:tcMar>
              <w:top w:w="40" w:type="dxa"/>
              <w:left w:w="40" w:type="dxa"/>
              <w:bottom w:w="40" w:type="dxa"/>
              <w:right w:w="40" w:type="dxa"/>
            </w:tcMar>
          </w:tcPr>
          <w:p w14:paraId="489A54E3" w14:textId="46CAFB32"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Within the national regulatory framework</w:t>
            </w:r>
            <w:r w:rsidR="00366E03">
              <w:rPr>
                <w:rFonts w:ascii="Arial" w:eastAsia="Arial" w:hAnsi="Arial" w:cs="Arial"/>
                <w:sz w:val="12"/>
                <w:szCs w:val="12"/>
              </w:rPr>
              <w:t>, there are sanctions for non-compliance with</w:t>
            </w:r>
            <w:r w:rsidRPr="00E619C8">
              <w:rPr>
                <w:rFonts w:ascii="Arial" w:eastAsia="Arial" w:hAnsi="Arial" w:cs="Arial"/>
                <w:sz w:val="12"/>
                <w:szCs w:val="12"/>
              </w:rPr>
              <w:t xml:space="preserve"> the mandates of access to public information.</w:t>
            </w:r>
          </w:p>
        </w:tc>
        <w:tc>
          <w:tcPr>
            <w:tcW w:w="855" w:type="dxa"/>
            <w:tcBorders>
              <w:bottom w:val="single" w:sz="6" w:space="0" w:color="000000"/>
              <w:right w:val="single" w:sz="6" w:space="0" w:color="000000"/>
            </w:tcBorders>
            <w:tcMar>
              <w:top w:w="40" w:type="dxa"/>
              <w:left w:w="40" w:type="dxa"/>
              <w:bottom w:w="40" w:type="dxa"/>
              <w:right w:w="40" w:type="dxa"/>
            </w:tcMar>
          </w:tcPr>
          <w:p w14:paraId="63B767EC"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Official websites on national legislation</w:t>
            </w:r>
          </w:p>
        </w:tc>
        <w:tc>
          <w:tcPr>
            <w:tcW w:w="1950" w:type="dxa"/>
            <w:tcBorders>
              <w:bottom w:val="single" w:sz="6" w:space="0" w:color="000000"/>
              <w:right w:val="single" w:sz="6" w:space="0" w:color="000000"/>
            </w:tcBorders>
            <w:tcMar>
              <w:top w:w="40" w:type="dxa"/>
              <w:left w:w="40" w:type="dxa"/>
              <w:bottom w:w="40" w:type="dxa"/>
              <w:right w:w="40" w:type="dxa"/>
            </w:tcMar>
          </w:tcPr>
          <w:p w14:paraId="0E1AB250"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No sanctions exist in the regulation or no regulation of access to information exists; 3 = The sanctions only apply to some of the mandates, and/or do not apply to all public sector institutions; 5 = There are sanctions in the regulation for non-compliance with any of the mandates, and they apply to all public sector institutions.</w:t>
            </w:r>
          </w:p>
        </w:tc>
        <w:tc>
          <w:tcPr>
            <w:tcW w:w="900" w:type="dxa"/>
            <w:tcBorders>
              <w:bottom w:val="single" w:sz="6" w:space="0" w:color="000000"/>
              <w:right w:val="single" w:sz="6" w:space="0" w:color="000000"/>
            </w:tcBorders>
            <w:tcMar>
              <w:top w:w="40" w:type="dxa"/>
              <w:left w:w="40" w:type="dxa"/>
              <w:bottom w:w="40" w:type="dxa"/>
              <w:right w:w="40" w:type="dxa"/>
            </w:tcMar>
          </w:tcPr>
          <w:p w14:paraId="313757EB"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33349655"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National or sub-national</w:t>
            </w:r>
          </w:p>
        </w:tc>
      </w:tr>
      <w:tr w:rsidR="002033A5" w:rsidRPr="00E619C8" w14:paraId="323D24AA" w14:textId="77777777">
        <w:trPr>
          <w:trHeight w:val="225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F4CD933"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1.1.1.4</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32354D73"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1E8F90A" w14:textId="04E562BF" w:rsidR="002033A5" w:rsidRPr="00E619C8" w:rsidRDefault="00366E03">
            <w:pPr>
              <w:pBdr>
                <w:top w:val="nil"/>
                <w:left w:val="nil"/>
                <w:bottom w:val="nil"/>
                <w:right w:val="nil"/>
                <w:between w:val="nil"/>
              </w:pBdr>
              <w:spacing w:after="160" w:line="276" w:lineRule="auto"/>
              <w:rPr>
                <w:rFonts w:ascii="Arial" w:eastAsia="Arial" w:hAnsi="Arial" w:cs="Arial"/>
                <w:sz w:val="12"/>
                <w:szCs w:val="12"/>
              </w:rPr>
            </w:pPr>
            <w:r>
              <w:rPr>
                <w:rFonts w:ascii="Arial" w:eastAsia="Arial" w:hAnsi="Arial" w:cs="Arial"/>
                <w:sz w:val="12"/>
                <w:szCs w:val="12"/>
              </w:rPr>
              <w:t>The organisation</w:t>
            </w:r>
            <w:r w:rsidR="00E113EC" w:rsidRPr="00E619C8">
              <w:rPr>
                <w:rFonts w:ascii="Arial" w:eastAsia="Arial" w:hAnsi="Arial" w:cs="Arial"/>
                <w:sz w:val="12"/>
                <w:szCs w:val="12"/>
              </w:rPr>
              <w:t xml:space="preserve"> guaranteeing the sanctions</w:t>
            </w:r>
          </w:p>
        </w:tc>
        <w:tc>
          <w:tcPr>
            <w:tcW w:w="1710" w:type="dxa"/>
            <w:tcBorders>
              <w:bottom w:val="single" w:sz="6" w:space="0" w:color="000000"/>
              <w:right w:val="single" w:sz="6" w:space="0" w:color="000000"/>
            </w:tcBorders>
            <w:tcMar>
              <w:top w:w="40" w:type="dxa"/>
              <w:left w:w="40" w:type="dxa"/>
              <w:bottom w:w="40" w:type="dxa"/>
              <w:right w:w="40" w:type="dxa"/>
            </w:tcMar>
          </w:tcPr>
          <w:p w14:paraId="21A6BA51" w14:textId="48A98B74"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Within the national regulatory framework</w:t>
            </w:r>
            <w:r w:rsidR="00366E03">
              <w:rPr>
                <w:rFonts w:ascii="Arial" w:eastAsia="Arial" w:hAnsi="Arial" w:cs="Arial"/>
                <w:sz w:val="12"/>
                <w:szCs w:val="12"/>
              </w:rPr>
              <w:t>,</w:t>
            </w:r>
            <w:r w:rsidRPr="00E619C8">
              <w:rPr>
                <w:rFonts w:ascii="Arial" w:eastAsia="Arial" w:hAnsi="Arial" w:cs="Arial"/>
                <w:sz w:val="12"/>
                <w:szCs w:val="12"/>
              </w:rPr>
              <w:t xml:space="preserve"> there are organisations or mechanisms that are</w:t>
            </w:r>
          </w:p>
          <w:p w14:paraId="14468C6C"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protected against political and financial interference</w:t>
            </w:r>
          </w:p>
          <w:p w14:paraId="7185BA49"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responsible for overseeing the compliance of access-to-information requirements</w:t>
            </w:r>
          </w:p>
          <w:p w14:paraId="3248856C"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compliant with the sanctions determined by law.</w:t>
            </w:r>
          </w:p>
        </w:tc>
        <w:tc>
          <w:tcPr>
            <w:tcW w:w="855" w:type="dxa"/>
            <w:tcBorders>
              <w:bottom w:val="single" w:sz="6" w:space="0" w:color="000000"/>
              <w:right w:val="single" w:sz="6" w:space="0" w:color="000000"/>
            </w:tcBorders>
            <w:tcMar>
              <w:top w:w="40" w:type="dxa"/>
              <w:left w:w="40" w:type="dxa"/>
              <w:bottom w:w="40" w:type="dxa"/>
              <w:right w:w="40" w:type="dxa"/>
            </w:tcMar>
          </w:tcPr>
          <w:p w14:paraId="2333404D"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Official websites on national legislation</w:t>
            </w:r>
          </w:p>
        </w:tc>
        <w:tc>
          <w:tcPr>
            <w:tcW w:w="1950" w:type="dxa"/>
            <w:tcBorders>
              <w:bottom w:val="single" w:sz="6" w:space="0" w:color="000000"/>
              <w:right w:val="single" w:sz="6" w:space="0" w:color="000000"/>
            </w:tcBorders>
            <w:tcMar>
              <w:top w:w="40" w:type="dxa"/>
              <w:left w:w="40" w:type="dxa"/>
              <w:bottom w:w="40" w:type="dxa"/>
              <w:right w:w="40" w:type="dxa"/>
            </w:tcMar>
          </w:tcPr>
          <w:p w14:paraId="00368911"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organisation or mechanism in charge of enforcing compliance with the access-to- information regulation, or there is no access to information regulation; 1 = There are organizations or mechanisms but none of the three conditions are covered; 2 = There are organisations or mechanisms with only one of the three conditions covered; 3 = There are organisations or mechanisms with two of the three conditions covered; 5 = There are organisations or mechanisms with the three conditions covered.</w:t>
            </w:r>
          </w:p>
        </w:tc>
        <w:tc>
          <w:tcPr>
            <w:tcW w:w="900" w:type="dxa"/>
            <w:tcBorders>
              <w:bottom w:val="single" w:sz="6" w:space="0" w:color="000000"/>
              <w:right w:val="single" w:sz="6" w:space="0" w:color="000000"/>
            </w:tcBorders>
            <w:tcMar>
              <w:top w:w="40" w:type="dxa"/>
              <w:left w:w="40" w:type="dxa"/>
              <w:bottom w:w="40" w:type="dxa"/>
              <w:right w:w="40" w:type="dxa"/>
            </w:tcMar>
          </w:tcPr>
          <w:p w14:paraId="47350267"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57AA1038"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National or sub-national</w:t>
            </w:r>
          </w:p>
        </w:tc>
      </w:tr>
      <w:tr w:rsidR="002033A5" w:rsidRPr="00E619C8" w14:paraId="2D478867" w14:textId="77777777">
        <w:trPr>
          <w:trHeight w:val="825"/>
        </w:trPr>
        <w:tc>
          <w:tcPr>
            <w:tcW w:w="690" w:type="dxa"/>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6EB44BF2"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1.1.2</w:t>
            </w:r>
          </w:p>
        </w:tc>
        <w:tc>
          <w:tcPr>
            <w:tcW w:w="855"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15D279FA"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Sub-variable</w:t>
            </w:r>
          </w:p>
        </w:tc>
        <w:tc>
          <w:tcPr>
            <w:tcW w:w="1140"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469E376C"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Transparency standards in the public infrastructure sector</w:t>
            </w:r>
          </w:p>
        </w:tc>
        <w:tc>
          <w:tcPr>
            <w:tcW w:w="171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3EC10EA4"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Evaluates the existence of laws and regulations that guarantee access to information in accordance with a transparency data standard for public infrastructure.</w:t>
            </w:r>
          </w:p>
        </w:tc>
        <w:tc>
          <w:tcPr>
            <w:tcW w:w="855"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0F5B6C58" w14:textId="77777777" w:rsidR="002033A5" w:rsidRPr="00E619C8" w:rsidRDefault="002033A5">
            <w:pPr>
              <w:pBdr>
                <w:top w:val="nil"/>
                <w:left w:val="nil"/>
                <w:bottom w:val="nil"/>
                <w:right w:val="nil"/>
                <w:between w:val="nil"/>
              </w:pBdr>
              <w:spacing w:after="160" w:line="276" w:lineRule="auto"/>
              <w:rPr>
                <w:rFonts w:ascii="Arial" w:eastAsia="Arial" w:hAnsi="Arial" w:cs="Arial"/>
                <w:sz w:val="12"/>
                <w:szCs w:val="12"/>
              </w:rPr>
            </w:pPr>
          </w:p>
        </w:tc>
        <w:tc>
          <w:tcPr>
            <w:tcW w:w="195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41581960"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90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6BD2548F"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0.40</w:t>
            </w:r>
          </w:p>
        </w:tc>
        <w:tc>
          <w:tcPr>
            <w:tcW w:w="930"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7F02E63C" w14:textId="77777777" w:rsidR="002033A5" w:rsidRPr="00E619C8" w:rsidRDefault="002033A5">
            <w:pPr>
              <w:spacing w:after="160" w:line="300" w:lineRule="auto"/>
              <w:jc w:val="both"/>
              <w:rPr>
                <w:rFonts w:ascii="Arial" w:eastAsia="Arial" w:hAnsi="Arial" w:cs="Arial"/>
                <w:sz w:val="12"/>
                <w:szCs w:val="12"/>
              </w:rPr>
            </w:pPr>
          </w:p>
        </w:tc>
      </w:tr>
      <w:tr w:rsidR="002033A5" w:rsidRPr="00E619C8" w14:paraId="3BDFD004" w14:textId="77777777">
        <w:trPr>
          <w:trHeight w:val="1766"/>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C48B3F5"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1.1.2.1</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7C2C7DFD"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51EA57C2"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Proactive publication of information on public procurement processes</w:t>
            </w:r>
          </w:p>
        </w:tc>
        <w:tc>
          <w:tcPr>
            <w:tcW w:w="1710" w:type="dxa"/>
            <w:tcBorders>
              <w:bottom w:val="single" w:sz="6" w:space="0" w:color="000000"/>
              <w:right w:val="single" w:sz="6" w:space="0" w:color="000000"/>
            </w:tcBorders>
            <w:tcMar>
              <w:top w:w="40" w:type="dxa"/>
              <w:left w:w="40" w:type="dxa"/>
              <w:bottom w:w="40" w:type="dxa"/>
              <w:right w:w="40" w:type="dxa"/>
            </w:tcMar>
          </w:tcPr>
          <w:p w14:paraId="26358944"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There is a regulatory framework that guarantees proactive disclosure of public procurement information:</w:t>
            </w:r>
          </w:p>
          <w:p w14:paraId="6EDFBCBC"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in all public sector institutions</w:t>
            </w:r>
          </w:p>
          <w:p w14:paraId="185859A2" w14:textId="2DD64E65"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in purchases of all goods and services (</w:t>
            </w:r>
            <w:r w:rsidR="0002732D">
              <w:rPr>
                <w:rFonts w:ascii="Arial" w:eastAsia="Arial" w:hAnsi="Arial" w:cs="Arial"/>
                <w:sz w:val="12"/>
                <w:szCs w:val="12"/>
              </w:rPr>
              <w:t>including</w:t>
            </w:r>
            <w:r w:rsidRPr="00E619C8">
              <w:rPr>
                <w:rFonts w:ascii="Arial" w:eastAsia="Arial" w:hAnsi="Arial" w:cs="Arial"/>
                <w:sz w:val="12"/>
                <w:szCs w:val="12"/>
              </w:rPr>
              <w:t xml:space="preserve"> public infrastructure)</w:t>
            </w:r>
          </w:p>
          <w:p w14:paraId="10734D88"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in all procurement stages (namely: tendering, awarding, contracting and implementation).</w:t>
            </w:r>
          </w:p>
        </w:tc>
        <w:tc>
          <w:tcPr>
            <w:tcW w:w="855" w:type="dxa"/>
            <w:tcBorders>
              <w:bottom w:val="single" w:sz="6" w:space="0" w:color="000000"/>
              <w:right w:val="single" w:sz="6" w:space="0" w:color="000000"/>
            </w:tcBorders>
            <w:tcMar>
              <w:top w:w="40" w:type="dxa"/>
              <w:left w:w="40" w:type="dxa"/>
              <w:bottom w:w="40" w:type="dxa"/>
              <w:right w:w="40" w:type="dxa"/>
            </w:tcMar>
          </w:tcPr>
          <w:p w14:paraId="32721E4B"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Official websites on national legislation</w:t>
            </w:r>
          </w:p>
        </w:tc>
        <w:tc>
          <w:tcPr>
            <w:tcW w:w="1950" w:type="dxa"/>
            <w:tcBorders>
              <w:bottom w:val="single" w:sz="6" w:space="0" w:color="000000"/>
              <w:right w:val="single" w:sz="6" w:space="0" w:color="000000"/>
            </w:tcBorders>
            <w:tcMar>
              <w:top w:w="40" w:type="dxa"/>
              <w:left w:w="40" w:type="dxa"/>
              <w:bottom w:w="40" w:type="dxa"/>
              <w:right w:w="40" w:type="dxa"/>
            </w:tcMar>
          </w:tcPr>
          <w:p w14:paraId="5F00EC73"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required by the regulation, or there is no regulation of access to information; 1 = It is required but none of the three conditions are covered; 2 = It is required but only one condition is covered; 3 = It is required but only two conditions are covered; 5 = It is required and the three conditions are covered.</w:t>
            </w:r>
          </w:p>
        </w:tc>
        <w:tc>
          <w:tcPr>
            <w:tcW w:w="900" w:type="dxa"/>
            <w:tcBorders>
              <w:bottom w:val="single" w:sz="6" w:space="0" w:color="000000"/>
              <w:right w:val="single" w:sz="6" w:space="0" w:color="000000"/>
            </w:tcBorders>
            <w:tcMar>
              <w:top w:w="40" w:type="dxa"/>
              <w:left w:w="40" w:type="dxa"/>
              <w:bottom w:w="40" w:type="dxa"/>
              <w:right w:w="40" w:type="dxa"/>
            </w:tcMar>
          </w:tcPr>
          <w:p w14:paraId="417BE360"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0.20</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48CEAD6B"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National or sub-national</w:t>
            </w:r>
          </w:p>
        </w:tc>
      </w:tr>
      <w:tr w:rsidR="002033A5" w:rsidRPr="00E619C8" w14:paraId="1A1CD196" w14:textId="77777777">
        <w:trPr>
          <w:trHeight w:val="1457"/>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43C03BF"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1.1.2.2</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5D686524"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08FCFD1C"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Proactive publication of information on public infrastructure projects</w:t>
            </w:r>
          </w:p>
        </w:tc>
        <w:tc>
          <w:tcPr>
            <w:tcW w:w="1710" w:type="dxa"/>
            <w:tcBorders>
              <w:bottom w:val="single" w:sz="6" w:space="0" w:color="000000"/>
              <w:right w:val="single" w:sz="6" w:space="0" w:color="000000"/>
            </w:tcBorders>
            <w:tcMar>
              <w:top w:w="40" w:type="dxa"/>
              <w:left w:w="40" w:type="dxa"/>
              <w:bottom w:w="40" w:type="dxa"/>
              <w:right w:w="40" w:type="dxa"/>
            </w:tcMar>
          </w:tcPr>
          <w:p w14:paraId="6C86C547"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There is a regulatory framework that specifically guarantees proactive disclosure of all public infrastructure projects in all public sector institutions, considering the complete project's cycle (identification, preparation, implementation, completion).</w:t>
            </w:r>
          </w:p>
        </w:tc>
        <w:tc>
          <w:tcPr>
            <w:tcW w:w="855" w:type="dxa"/>
            <w:tcBorders>
              <w:bottom w:val="single" w:sz="6" w:space="0" w:color="000000"/>
              <w:right w:val="single" w:sz="6" w:space="0" w:color="000000"/>
            </w:tcBorders>
            <w:tcMar>
              <w:top w:w="40" w:type="dxa"/>
              <w:left w:w="40" w:type="dxa"/>
              <w:bottom w:w="40" w:type="dxa"/>
              <w:right w:w="40" w:type="dxa"/>
            </w:tcMar>
          </w:tcPr>
          <w:p w14:paraId="094B3825"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Official websites on national legislation</w:t>
            </w:r>
          </w:p>
        </w:tc>
        <w:tc>
          <w:tcPr>
            <w:tcW w:w="1950" w:type="dxa"/>
            <w:tcBorders>
              <w:bottom w:val="single" w:sz="6" w:space="0" w:color="000000"/>
              <w:right w:val="single" w:sz="6" w:space="0" w:color="000000"/>
            </w:tcBorders>
            <w:tcMar>
              <w:top w:w="40" w:type="dxa"/>
              <w:left w:w="40" w:type="dxa"/>
              <w:bottom w:w="40" w:type="dxa"/>
              <w:right w:w="40" w:type="dxa"/>
            </w:tcMar>
          </w:tcPr>
          <w:p w14:paraId="25B5A6F4"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required by the regulation, or there is no regulation of access to information; 1 = It is required but none of the three conditions are specified (all projects, all stages, and all institutions) 2 = It is required but only one of the three conditions is covered; 3 = It is required but only two conditions are covered; 5 = It is required and the three conditions are covered by the regulation.</w:t>
            </w:r>
          </w:p>
        </w:tc>
        <w:tc>
          <w:tcPr>
            <w:tcW w:w="900" w:type="dxa"/>
            <w:tcBorders>
              <w:bottom w:val="single" w:sz="6" w:space="0" w:color="000000"/>
              <w:right w:val="single" w:sz="6" w:space="0" w:color="000000"/>
            </w:tcBorders>
            <w:tcMar>
              <w:top w:w="40" w:type="dxa"/>
              <w:left w:w="40" w:type="dxa"/>
              <w:bottom w:w="40" w:type="dxa"/>
              <w:right w:w="40" w:type="dxa"/>
            </w:tcMar>
          </w:tcPr>
          <w:p w14:paraId="44D2AB5E"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0.20</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61050EFC"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National or sub-national</w:t>
            </w:r>
          </w:p>
        </w:tc>
      </w:tr>
      <w:tr w:rsidR="002033A5" w:rsidRPr="00E619C8" w14:paraId="7353394A" w14:textId="77777777">
        <w:trPr>
          <w:trHeight w:val="169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EA11A84"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1.1.2.3</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65832E8A"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749D563F"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Infrastructure data disclosure standard</w:t>
            </w:r>
          </w:p>
        </w:tc>
        <w:tc>
          <w:tcPr>
            <w:tcW w:w="1710" w:type="dxa"/>
            <w:tcBorders>
              <w:bottom w:val="single" w:sz="6" w:space="0" w:color="000000"/>
              <w:right w:val="single" w:sz="6" w:space="0" w:color="000000"/>
            </w:tcBorders>
            <w:tcMar>
              <w:top w:w="40" w:type="dxa"/>
              <w:left w:w="40" w:type="dxa"/>
              <w:bottom w:w="40" w:type="dxa"/>
              <w:right w:w="40" w:type="dxa"/>
            </w:tcMar>
          </w:tcPr>
          <w:p w14:paraId="5302A13A"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There is a regulatory framework that defines a data disclosure standard in public infrastructure (such as a formal disclosure requirement (FDR)):</w:t>
            </w:r>
          </w:p>
          <w:p w14:paraId="26F00EF4"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based on CoST IDS or OC4IDS</w:t>
            </w:r>
          </w:p>
          <w:p w14:paraId="627A7B28"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that must be complied with by all procuring entities</w:t>
            </w:r>
          </w:p>
          <w:p w14:paraId="0FD3A98A"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in all public infrastructure projects.</w:t>
            </w:r>
          </w:p>
        </w:tc>
        <w:tc>
          <w:tcPr>
            <w:tcW w:w="855" w:type="dxa"/>
            <w:tcBorders>
              <w:bottom w:val="single" w:sz="6" w:space="0" w:color="000000"/>
              <w:right w:val="single" w:sz="6" w:space="0" w:color="000000"/>
            </w:tcBorders>
            <w:tcMar>
              <w:top w:w="40" w:type="dxa"/>
              <w:left w:w="40" w:type="dxa"/>
              <w:bottom w:w="40" w:type="dxa"/>
              <w:right w:w="40" w:type="dxa"/>
            </w:tcMar>
          </w:tcPr>
          <w:p w14:paraId="461BDE36"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Official websites on national legislation</w:t>
            </w:r>
          </w:p>
        </w:tc>
        <w:tc>
          <w:tcPr>
            <w:tcW w:w="1950" w:type="dxa"/>
            <w:tcBorders>
              <w:bottom w:val="single" w:sz="6" w:space="0" w:color="000000"/>
              <w:right w:val="single" w:sz="6" w:space="0" w:color="000000"/>
            </w:tcBorders>
            <w:tcMar>
              <w:top w:w="40" w:type="dxa"/>
              <w:left w:w="40" w:type="dxa"/>
              <w:bottom w:w="40" w:type="dxa"/>
              <w:right w:w="40" w:type="dxa"/>
            </w:tcMar>
          </w:tcPr>
          <w:p w14:paraId="3628979B" w14:textId="567505ED"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0 = The FDR or infrastructure disclosure standard does not exist in the regulation; 1 = Exists but none of the three conditions </w:t>
            </w:r>
            <w:r w:rsidR="0002732D">
              <w:rPr>
                <w:rFonts w:ascii="Arial" w:eastAsia="Arial" w:hAnsi="Arial" w:cs="Arial"/>
                <w:sz w:val="12"/>
                <w:szCs w:val="12"/>
              </w:rPr>
              <w:t>is</w:t>
            </w:r>
            <w:r w:rsidRPr="00E619C8">
              <w:rPr>
                <w:rFonts w:ascii="Arial" w:eastAsia="Arial" w:hAnsi="Arial" w:cs="Arial"/>
                <w:sz w:val="12"/>
                <w:szCs w:val="12"/>
              </w:rPr>
              <w:t xml:space="preserve"> covered; 2 = Exists but only one condition is covered; 3 = Exists but only two conditions are covered; 5 = Exists and the three conditions are covered.</w:t>
            </w:r>
          </w:p>
        </w:tc>
        <w:tc>
          <w:tcPr>
            <w:tcW w:w="900" w:type="dxa"/>
            <w:tcBorders>
              <w:bottom w:val="single" w:sz="6" w:space="0" w:color="000000"/>
              <w:right w:val="single" w:sz="6" w:space="0" w:color="000000"/>
            </w:tcBorders>
            <w:tcMar>
              <w:top w:w="40" w:type="dxa"/>
              <w:left w:w="40" w:type="dxa"/>
              <w:bottom w:w="40" w:type="dxa"/>
              <w:right w:w="40" w:type="dxa"/>
            </w:tcMar>
          </w:tcPr>
          <w:p w14:paraId="4E4CF4EB"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0.20</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795CAC84"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National or sub-national</w:t>
            </w:r>
          </w:p>
        </w:tc>
      </w:tr>
      <w:tr w:rsidR="002033A5" w:rsidRPr="00E619C8" w14:paraId="5D873832" w14:textId="77777777">
        <w:trPr>
          <w:trHeight w:val="282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AC9B6F4"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1.1.2.4</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077C9E36"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52CE42DA"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Infrastructure data disclosure standard requests open data</w:t>
            </w:r>
          </w:p>
        </w:tc>
        <w:tc>
          <w:tcPr>
            <w:tcW w:w="1710" w:type="dxa"/>
            <w:tcBorders>
              <w:bottom w:val="single" w:sz="6" w:space="0" w:color="000000"/>
              <w:right w:val="single" w:sz="6" w:space="0" w:color="000000"/>
            </w:tcBorders>
            <w:tcMar>
              <w:top w:w="40" w:type="dxa"/>
              <w:left w:w="40" w:type="dxa"/>
              <w:bottom w:w="40" w:type="dxa"/>
              <w:right w:w="40" w:type="dxa"/>
            </w:tcMar>
          </w:tcPr>
          <w:p w14:paraId="4DE778BD" w14:textId="17CDF9B0"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national regulatory framework</w:t>
            </w:r>
            <w:r w:rsidR="0002732D">
              <w:rPr>
                <w:rFonts w:ascii="Arial" w:eastAsia="Arial" w:hAnsi="Arial" w:cs="Arial"/>
                <w:sz w:val="12"/>
                <w:szCs w:val="12"/>
              </w:rPr>
              <w:t>, with the infrastructure data disclosure standard,</w:t>
            </w:r>
            <w:r w:rsidRPr="00E619C8">
              <w:rPr>
                <w:rFonts w:ascii="Arial" w:eastAsia="Arial" w:hAnsi="Arial" w:cs="Arial"/>
                <w:sz w:val="12"/>
                <w:szCs w:val="12"/>
              </w:rPr>
              <w:t xml:space="preserve"> requests proactive disclosure of all infrastructure projects as open data.</w:t>
            </w:r>
          </w:p>
        </w:tc>
        <w:tc>
          <w:tcPr>
            <w:tcW w:w="855" w:type="dxa"/>
            <w:tcBorders>
              <w:bottom w:val="single" w:sz="6" w:space="0" w:color="000000"/>
              <w:right w:val="single" w:sz="6" w:space="0" w:color="000000"/>
            </w:tcBorders>
            <w:tcMar>
              <w:top w:w="40" w:type="dxa"/>
              <w:left w:w="40" w:type="dxa"/>
              <w:bottom w:w="40" w:type="dxa"/>
              <w:right w:w="40" w:type="dxa"/>
            </w:tcMar>
          </w:tcPr>
          <w:p w14:paraId="440FD8CE"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Official websites on national legislation</w:t>
            </w:r>
          </w:p>
        </w:tc>
        <w:tc>
          <w:tcPr>
            <w:tcW w:w="1950" w:type="dxa"/>
            <w:tcBorders>
              <w:bottom w:val="single" w:sz="6" w:space="0" w:color="000000"/>
              <w:right w:val="single" w:sz="6" w:space="0" w:color="000000"/>
            </w:tcBorders>
            <w:tcMar>
              <w:top w:w="40" w:type="dxa"/>
              <w:left w:w="40" w:type="dxa"/>
              <w:bottom w:w="40" w:type="dxa"/>
              <w:right w:w="40" w:type="dxa"/>
            </w:tcMar>
          </w:tcPr>
          <w:p w14:paraId="2EFD3120"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Formal disclosure of open data is not required, or there is no regulation providing the standard for the data publication; 3 = Formal disclosure of open data is specifically required but with partial coverage, because does apply to all public sector, or does not apply to the full data standard (that is the CoST IDS or OC4IDS), or does not apply to all infrastructure projects, or the definition of open data is incomplete; 5 = It requires the publication of all the data standard (that is the CoST IDS or OC4IDS) as open data in all public sector entities and all infrastructure projects.</w:t>
            </w:r>
          </w:p>
        </w:tc>
        <w:tc>
          <w:tcPr>
            <w:tcW w:w="900" w:type="dxa"/>
            <w:tcBorders>
              <w:bottom w:val="single" w:sz="6" w:space="0" w:color="000000"/>
              <w:right w:val="single" w:sz="6" w:space="0" w:color="000000"/>
            </w:tcBorders>
            <w:tcMar>
              <w:top w:w="40" w:type="dxa"/>
              <w:left w:w="40" w:type="dxa"/>
              <w:bottom w:w="40" w:type="dxa"/>
              <w:right w:w="40" w:type="dxa"/>
            </w:tcMar>
          </w:tcPr>
          <w:p w14:paraId="42526DBE"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0.20</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6F48F90C"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National or sub-national</w:t>
            </w:r>
          </w:p>
        </w:tc>
      </w:tr>
      <w:tr w:rsidR="002033A5" w:rsidRPr="00E619C8" w14:paraId="3CCDEA58" w14:textId="77777777">
        <w:trPr>
          <w:trHeight w:val="1854"/>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783B327"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1.1.2.5</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027CA29C"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0276DA12"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Organisation responsible for the infrastructure data disclosure standard</w:t>
            </w:r>
          </w:p>
        </w:tc>
        <w:tc>
          <w:tcPr>
            <w:tcW w:w="1710" w:type="dxa"/>
            <w:tcBorders>
              <w:bottom w:val="single" w:sz="6" w:space="0" w:color="000000"/>
              <w:right w:val="single" w:sz="6" w:space="0" w:color="000000"/>
            </w:tcBorders>
            <w:tcMar>
              <w:top w:w="40" w:type="dxa"/>
              <w:left w:w="40" w:type="dxa"/>
              <w:bottom w:w="40" w:type="dxa"/>
              <w:right w:w="40" w:type="dxa"/>
            </w:tcMar>
          </w:tcPr>
          <w:p w14:paraId="24989C24" w14:textId="64F56236"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Within </w:t>
            </w:r>
            <w:r w:rsidR="0002732D">
              <w:rPr>
                <w:rFonts w:ascii="Arial" w:eastAsia="Arial" w:hAnsi="Arial" w:cs="Arial"/>
                <w:sz w:val="12"/>
                <w:szCs w:val="12"/>
              </w:rPr>
              <w:t>the regulatory framework,</w:t>
            </w:r>
            <w:r w:rsidRPr="00E619C8">
              <w:rPr>
                <w:rFonts w:ascii="Arial" w:eastAsia="Arial" w:hAnsi="Arial" w:cs="Arial"/>
                <w:sz w:val="12"/>
                <w:szCs w:val="12"/>
              </w:rPr>
              <w:t xml:space="preserve"> there is an organisation responsible for overseeing the compliance of the publication of information according to the infrastructure data disclosure standard.</w:t>
            </w:r>
          </w:p>
        </w:tc>
        <w:tc>
          <w:tcPr>
            <w:tcW w:w="855" w:type="dxa"/>
            <w:tcBorders>
              <w:bottom w:val="single" w:sz="6" w:space="0" w:color="000000"/>
              <w:right w:val="single" w:sz="6" w:space="0" w:color="000000"/>
            </w:tcBorders>
            <w:tcMar>
              <w:top w:w="40" w:type="dxa"/>
              <w:left w:w="40" w:type="dxa"/>
              <w:bottom w:w="40" w:type="dxa"/>
              <w:right w:w="40" w:type="dxa"/>
            </w:tcMar>
          </w:tcPr>
          <w:p w14:paraId="0DAAD304"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Official websites on national legislation</w:t>
            </w:r>
          </w:p>
        </w:tc>
        <w:tc>
          <w:tcPr>
            <w:tcW w:w="1950" w:type="dxa"/>
            <w:tcBorders>
              <w:bottom w:val="single" w:sz="6" w:space="0" w:color="000000"/>
              <w:right w:val="single" w:sz="6" w:space="0" w:color="000000"/>
            </w:tcBorders>
            <w:tcMar>
              <w:top w:w="40" w:type="dxa"/>
              <w:left w:w="40" w:type="dxa"/>
              <w:bottom w:w="40" w:type="dxa"/>
              <w:right w:w="40" w:type="dxa"/>
            </w:tcMar>
          </w:tcPr>
          <w:p w14:paraId="6D6DE64A" w14:textId="791F7CD5"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0 = There is no organisation responsible for overseeing compliance with the regulation, or there is no relation between </w:t>
            </w:r>
            <w:r w:rsidR="0002732D">
              <w:rPr>
                <w:rFonts w:ascii="Arial" w:eastAsia="Arial" w:hAnsi="Arial" w:cs="Arial"/>
                <w:sz w:val="12"/>
                <w:szCs w:val="12"/>
              </w:rPr>
              <w:t>an</w:t>
            </w:r>
            <w:r w:rsidRPr="00E619C8">
              <w:rPr>
                <w:rFonts w:ascii="Arial" w:eastAsia="Arial" w:hAnsi="Arial" w:cs="Arial"/>
                <w:sz w:val="12"/>
                <w:szCs w:val="12"/>
              </w:rPr>
              <w:t xml:space="preserve"> existing </w:t>
            </w:r>
            <w:r w:rsidR="0002732D">
              <w:rPr>
                <w:rFonts w:ascii="Arial" w:eastAsia="Arial" w:hAnsi="Arial" w:cs="Arial"/>
                <w:sz w:val="12"/>
                <w:szCs w:val="12"/>
              </w:rPr>
              <w:t>organisation and</w:t>
            </w:r>
            <w:r w:rsidRPr="00E619C8">
              <w:rPr>
                <w:rFonts w:ascii="Arial" w:eastAsia="Arial" w:hAnsi="Arial" w:cs="Arial"/>
                <w:sz w:val="12"/>
                <w:szCs w:val="12"/>
              </w:rPr>
              <w:t xml:space="preserve"> the standard for data publication; 3 = There is an organisation related to the data disclosure standard</w:t>
            </w:r>
            <w:r w:rsidR="0002732D">
              <w:rPr>
                <w:rFonts w:ascii="Arial" w:eastAsia="Arial" w:hAnsi="Arial" w:cs="Arial"/>
                <w:sz w:val="12"/>
                <w:szCs w:val="12"/>
              </w:rPr>
              <w:t>,</w:t>
            </w:r>
            <w:r w:rsidRPr="00E619C8">
              <w:rPr>
                <w:rFonts w:ascii="Arial" w:eastAsia="Arial" w:hAnsi="Arial" w:cs="Arial"/>
                <w:sz w:val="12"/>
                <w:szCs w:val="12"/>
              </w:rPr>
              <w:t xml:space="preserve"> but it does not have the power to oversee compliance; 5 = There is an organisation</w:t>
            </w:r>
            <w:r w:rsidR="0002732D">
              <w:rPr>
                <w:rFonts w:ascii="Arial" w:eastAsia="Arial" w:hAnsi="Arial" w:cs="Arial"/>
                <w:sz w:val="12"/>
                <w:szCs w:val="12"/>
              </w:rPr>
              <w:t>,</w:t>
            </w:r>
            <w:r w:rsidRPr="00E619C8">
              <w:rPr>
                <w:rFonts w:ascii="Arial" w:eastAsia="Arial" w:hAnsi="Arial" w:cs="Arial"/>
                <w:sz w:val="12"/>
                <w:szCs w:val="12"/>
              </w:rPr>
              <w:t xml:space="preserve"> and it oversees compliance with the standard.</w:t>
            </w:r>
          </w:p>
        </w:tc>
        <w:tc>
          <w:tcPr>
            <w:tcW w:w="900" w:type="dxa"/>
            <w:tcBorders>
              <w:bottom w:val="single" w:sz="6" w:space="0" w:color="000000"/>
              <w:right w:val="single" w:sz="6" w:space="0" w:color="000000"/>
            </w:tcBorders>
            <w:tcMar>
              <w:top w:w="40" w:type="dxa"/>
              <w:left w:w="40" w:type="dxa"/>
              <w:bottom w:w="40" w:type="dxa"/>
              <w:right w:w="40" w:type="dxa"/>
            </w:tcMar>
          </w:tcPr>
          <w:p w14:paraId="2C289AAC"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0.20</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2CC280A4"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National or sub-national</w:t>
            </w:r>
          </w:p>
        </w:tc>
      </w:tr>
      <w:tr w:rsidR="002033A5" w:rsidRPr="00E619C8" w14:paraId="7F945AA1" w14:textId="77777777">
        <w:trPr>
          <w:trHeight w:val="360"/>
        </w:trPr>
        <w:tc>
          <w:tcPr>
            <w:tcW w:w="690" w:type="dxa"/>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42A418D8"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1.1.3</w:t>
            </w:r>
          </w:p>
        </w:tc>
        <w:tc>
          <w:tcPr>
            <w:tcW w:w="855"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2C59FF5F"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Sub-variable</w:t>
            </w:r>
          </w:p>
        </w:tc>
        <w:tc>
          <w:tcPr>
            <w:tcW w:w="1140"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13A69E61"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National digital information tools</w:t>
            </w:r>
          </w:p>
        </w:tc>
        <w:tc>
          <w:tcPr>
            <w:tcW w:w="171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7A16B1EC"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Evaluates the availability of national digital tools that facilitate transparency in public infrastructure.</w:t>
            </w:r>
          </w:p>
        </w:tc>
        <w:tc>
          <w:tcPr>
            <w:tcW w:w="855"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3B49DE6" w14:textId="77777777" w:rsidR="002033A5" w:rsidRPr="00E619C8" w:rsidRDefault="002033A5">
            <w:pPr>
              <w:pBdr>
                <w:top w:val="nil"/>
                <w:left w:val="nil"/>
                <w:bottom w:val="nil"/>
                <w:right w:val="nil"/>
                <w:between w:val="nil"/>
              </w:pBdr>
              <w:spacing w:after="160" w:line="276" w:lineRule="auto"/>
              <w:rPr>
                <w:rFonts w:ascii="Arial" w:eastAsia="Arial" w:hAnsi="Arial" w:cs="Arial"/>
                <w:sz w:val="12"/>
                <w:szCs w:val="12"/>
              </w:rPr>
            </w:pPr>
          </w:p>
        </w:tc>
        <w:tc>
          <w:tcPr>
            <w:tcW w:w="195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31A6170"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90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3618DA35"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0.30</w:t>
            </w:r>
          </w:p>
        </w:tc>
        <w:tc>
          <w:tcPr>
            <w:tcW w:w="930"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7277F8E5" w14:textId="77777777" w:rsidR="002033A5" w:rsidRPr="00E619C8" w:rsidRDefault="002033A5">
            <w:pPr>
              <w:spacing w:after="160" w:line="300" w:lineRule="auto"/>
              <w:jc w:val="both"/>
              <w:rPr>
                <w:rFonts w:ascii="Arial" w:eastAsia="Arial" w:hAnsi="Arial" w:cs="Arial"/>
                <w:sz w:val="12"/>
                <w:szCs w:val="12"/>
              </w:rPr>
            </w:pPr>
          </w:p>
        </w:tc>
      </w:tr>
      <w:tr w:rsidR="002033A5" w:rsidRPr="00E619C8" w14:paraId="4686A20C" w14:textId="77777777">
        <w:trPr>
          <w:trHeight w:val="467"/>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965D2D6"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1.1.3.1</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525661CA"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56F25A93"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Centralised digital information platforms</w:t>
            </w:r>
          </w:p>
        </w:tc>
        <w:tc>
          <w:tcPr>
            <w:tcW w:w="1710" w:type="dxa"/>
            <w:tcBorders>
              <w:bottom w:val="single" w:sz="6" w:space="0" w:color="000000"/>
              <w:right w:val="single" w:sz="6" w:space="0" w:color="000000"/>
            </w:tcBorders>
            <w:tcMar>
              <w:top w:w="40" w:type="dxa"/>
              <w:left w:w="40" w:type="dxa"/>
              <w:bottom w:w="40" w:type="dxa"/>
              <w:right w:w="40" w:type="dxa"/>
            </w:tcMar>
          </w:tcPr>
          <w:p w14:paraId="2A898B3A"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There are centralised national or sub-national digital platforms (one or more) with complete information on public infrastructure projects, covering:</w:t>
            </w:r>
          </w:p>
          <w:p w14:paraId="79AEF108"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all public sector procuring entities</w:t>
            </w:r>
          </w:p>
          <w:p w14:paraId="4761AC41"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all projects’ lifecycle (identification, preparation, implementation and completion)</w:t>
            </w:r>
          </w:p>
          <w:p w14:paraId="091A061E"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without missing data fields in those included in the platform.</w:t>
            </w:r>
          </w:p>
        </w:tc>
        <w:tc>
          <w:tcPr>
            <w:tcW w:w="855" w:type="dxa"/>
            <w:tcBorders>
              <w:bottom w:val="single" w:sz="6" w:space="0" w:color="000000"/>
              <w:right w:val="single" w:sz="6" w:space="0" w:color="000000"/>
            </w:tcBorders>
            <w:tcMar>
              <w:top w:w="40" w:type="dxa"/>
              <w:left w:w="40" w:type="dxa"/>
              <w:bottom w:w="40" w:type="dxa"/>
              <w:right w:w="40" w:type="dxa"/>
            </w:tcMar>
          </w:tcPr>
          <w:p w14:paraId="466971D5"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National websites</w:t>
            </w:r>
          </w:p>
        </w:tc>
        <w:tc>
          <w:tcPr>
            <w:tcW w:w="1950" w:type="dxa"/>
            <w:tcBorders>
              <w:bottom w:val="single" w:sz="6" w:space="0" w:color="000000"/>
              <w:right w:val="single" w:sz="6" w:space="0" w:color="000000"/>
            </w:tcBorders>
            <w:tcMar>
              <w:top w:w="40" w:type="dxa"/>
              <w:left w:w="40" w:type="dxa"/>
              <w:bottom w:w="40" w:type="dxa"/>
              <w:right w:w="40" w:type="dxa"/>
            </w:tcMar>
          </w:tcPr>
          <w:p w14:paraId="5640D66A" w14:textId="607724AE"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are none; 2 = There are, but with limitations on the three items; 3 = There are</w:t>
            </w:r>
            <w:r w:rsidR="0002732D">
              <w:rPr>
                <w:rFonts w:ascii="Arial" w:eastAsia="Arial" w:hAnsi="Arial" w:cs="Arial"/>
                <w:sz w:val="12"/>
                <w:szCs w:val="12"/>
              </w:rPr>
              <w:t>, but with limitations on two items; 4 = There are, but with limitations on one item; 5 = There are,</w:t>
            </w:r>
            <w:r w:rsidRPr="00E619C8">
              <w:rPr>
                <w:rFonts w:ascii="Arial" w:eastAsia="Arial" w:hAnsi="Arial" w:cs="Arial"/>
                <w:sz w:val="12"/>
                <w:szCs w:val="12"/>
              </w:rPr>
              <w:t xml:space="preserve"> and the access to information they offer is complete.</w:t>
            </w:r>
          </w:p>
        </w:tc>
        <w:tc>
          <w:tcPr>
            <w:tcW w:w="900" w:type="dxa"/>
            <w:tcBorders>
              <w:bottom w:val="single" w:sz="6" w:space="0" w:color="000000"/>
              <w:right w:val="single" w:sz="6" w:space="0" w:color="000000"/>
            </w:tcBorders>
            <w:tcMar>
              <w:top w:w="40" w:type="dxa"/>
              <w:left w:w="40" w:type="dxa"/>
              <w:bottom w:w="40" w:type="dxa"/>
              <w:right w:w="40" w:type="dxa"/>
            </w:tcMar>
          </w:tcPr>
          <w:p w14:paraId="106E78C7"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0.30</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791C1CB7"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National or sub-national</w:t>
            </w:r>
          </w:p>
        </w:tc>
      </w:tr>
      <w:tr w:rsidR="002033A5" w:rsidRPr="00E619C8" w14:paraId="5725FF3B" w14:textId="77777777">
        <w:trPr>
          <w:trHeight w:val="1054"/>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6039315"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1.1.3.2</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422E559C"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0697185E"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Easy access to information in digital information platforms</w:t>
            </w:r>
          </w:p>
        </w:tc>
        <w:tc>
          <w:tcPr>
            <w:tcW w:w="1710" w:type="dxa"/>
            <w:tcBorders>
              <w:bottom w:val="single" w:sz="6" w:space="0" w:color="000000"/>
              <w:right w:val="single" w:sz="6" w:space="0" w:color="000000"/>
            </w:tcBorders>
            <w:tcMar>
              <w:top w:w="40" w:type="dxa"/>
              <w:left w:w="40" w:type="dxa"/>
              <w:bottom w:w="40" w:type="dxa"/>
              <w:right w:w="40" w:type="dxa"/>
            </w:tcMar>
          </w:tcPr>
          <w:p w14:paraId="6D8E87B1" w14:textId="443F720A"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The information that </w:t>
            </w:r>
            <w:r w:rsidR="0002732D">
              <w:rPr>
                <w:rFonts w:ascii="Arial" w:eastAsia="Arial" w:hAnsi="Arial" w:cs="Arial"/>
                <w:sz w:val="12"/>
                <w:szCs w:val="12"/>
              </w:rPr>
              <w:t>the centralised digital information platforms offer</w:t>
            </w:r>
            <w:r w:rsidRPr="00E619C8">
              <w:rPr>
                <w:rFonts w:ascii="Arial" w:eastAsia="Arial" w:hAnsi="Arial" w:cs="Arial"/>
                <w:sz w:val="12"/>
                <w:szCs w:val="12"/>
              </w:rPr>
              <w:t xml:space="preserve"> is:</w:t>
            </w:r>
          </w:p>
          <w:p w14:paraId="0FF87E53"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easily accessible for the average citizen</w:t>
            </w:r>
          </w:p>
          <w:p w14:paraId="4B12F4B8"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available in an orderly and structured manner</w:t>
            </w:r>
          </w:p>
          <w:p w14:paraId="31430405"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available to download in machine-readable format</w:t>
            </w:r>
          </w:p>
          <w:p w14:paraId="72FE1119"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updated.</w:t>
            </w:r>
          </w:p>
        </w:tc>
        <w:tc>
          <w:tcPr>
            <w:tcW w:w="855" w:type="dxa"/>
            <w:tcBorders>
              <w:bottom w:val="single" w:sz="6" w:space="0" w:color="000000"/>
              <w:right w:val="single" w:sz="6" w:space="0" w:color="000000"/>
            </w:tcBorders>
            <w:tcMar>
              <w:top w:w="40" w:type="dxa"/>
              <w:left w:w="40" w:type="dxa"/>
              <w:bottom w:w="40" w:type="dxa"/>
              <w:right w:w="40" w:type="dxa"/>
            </w:tcMar>
          </w:tcPr>
          <w:p w14:paraId="17E2F1C2"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National websites</w:t>
            </w:r>
          </w:p>
        </w:tc>
        <w:tc>
          <w:tcPr>
            <w:tcW w:w="1950" w:type="dxa"/>
            <w:tcBorders>
              <w:bottom w:val="single" w:sz="6" w:space="0" w:color="000000"/>
              <w:right w:val="single" w:sz="6" w:space="0" w:color="000000"/>
            </w:tcBorders>
            <w:tcMar>
              <w:top w:w="40" w:type="dxa"/>
              <w:left w:w="40" w:type="dxa"/>
              <w:bottom w:w="40" w:type="dxa"/>
              <w:right w:w="40" w:type="dxa"/>
            </w:tcMar>
          </w:tcPr>
          <w:p w14:paraId="786154BF" w14:textId="06BEA781"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0 = </w:t>
            </w:r>
            <w:r w:rsidR="00034D75">
              <w:rPr>
                <w:rFonts w:ascii="Arial" w:eastAsia="Arial" w:hAnsi="Arial" w:cs="Arial"/>
                <w:sz w:val="12"/>
                <w:szCs w:val="12"/>
              </w:rPr>
              <w:t>There</w:t>
            </w:r>
            <w:r w:rsidRPr="00E619C8">
              <w:rPr>
                <w:rFonts w:ascii="Arial" w:eastAsia="Arial" w:hAnsi="Arial" w:cs="Arial"/>
                <w:sz w:val="12"/>
                <w:szCs w:val="12"/>
              </w:rPr>
              <w:t xml:space="preserve"> are no centralised digital information platforms; 1 = There are</w:t>
            </w:r>
            <w:r w:rsidR="00034D75">
              <w:rPr>
                <w:rFonts w:ascii="Arial" w:eastAsia="Arial" w:hAnsi="Arial" w:cs="Arial"/>
                <w:sz w:val="12"/>
                <w:szCs w:val="12"/>
              </w:rPr>
              <w:t>,</w:t>
            </w:r>
            <w:r w:rsidRPr="00E619C8">
              <w:rPr>
                <w:rFonts w:ascii="Arial" w:eastAsia="Arial" w:hAnsi="Arial" w:cs="Arial"/>
                <w:sz w:val="12"/>
                <w:szCs w:val="12"/>
              </w:rPr>
              <w:t xml:space="preserve"> but with limitations on the four items; 2 = There are but with limitations on three items; 3 = There are but with limitations on two items; 4 = There are but with limitations on one item; 5 = There are and do not have limitations on the four items.</w:t>
            </w:r>
          </w:p>
        </w:tc>
        <w:tc>
          <w:tcPr>
            <w:tcW w:w="900" w:type="dxa"/>
            <w:tcBorders>
              <w:bottom w:val="single" w:sz="6" w:space="0" w:color="000000"/>
              <w:right w:val="single" w:sz="6" w:space="0" w:color="000000"/>
            </w:tcBorders>
            <w:tcMar>
              <w:top w:w="40" w:type="dxa"/>
              <w:left w:w="40" w:type="dxa"/>
              <w:bottom w:w="40" w:type="dxa"/>
              <w:right w:w="40" w:type="dxa"/>
            </w:tcMar>
          </w:tcPr>
          <w:p w14:paraId="48FD2935"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0.40</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3322BFD4"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National or sub-national</w:t>
            </w:r>
          </w:p>
        </w:tc>
      </w:tr>
      <w:tr w:rsidR="002033A5" w:rsidRPr="00E619C8" w14:paraId="1B45B956" w14:textId="77777777">
        <w:trPr>
          <w:trHeight w:val="180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7BD64C1"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1.1.3.3</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67CF36A6"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137065C9"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Infrastructure projects geographic information system (GIS)</w:t>
            </w:r>
          </w:p>
        </w:tc>
        <w:tc>
          <w:tcPr>
            <w:tcW w:w="1710" w:type="dxa"/>
            <w:tcBorders>
              <w:bottom w:val="single" w:sz="6" w:space="0" w:color="000000"/>
              <w:right w:val="single" w:sz="6" w:space="0" w:color="000000"/>
            </w:tcBorders>
            <w:tcMar>
              <w:top w:w="40" w:type="dxa"/>
              <w:left w:w="40" w:type="dxa"/>
              <w:bottom w:w="40" w:type="dxa"/>
              <w:right w:w="40" w:type="dxa"/>
            </w:tcMar>
          </w:tcPr>
          <w:p w14:paraId="59FD7D93"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There is a web platform tailored to the needs of citizens that allows access to a GIS database of infrastructure projects with:</w:t>
            </w:r>
          </w:p>
          <w:p w14:paraId="6CC75B06"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all public sector procuring entities</w:t>
            </w:r>
          </w:p>
          <w:p w14:paraId="36FBE13A"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all infrastructure projects</w:t>
            </w:r>
          </w:p>
          <w:p w14:paraId="77FC450F"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key information on works under execution or recently executed</w:t>
            </w:r>
          </w:p>
          <w:p w14:paraId="23F24C3C"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easily accessible for the average citizen</w:t>
            </w:r>
          </w:p>
          <w:p w14:paraId="21634FF9"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updated.</w:t>
            </w:r>
          </w:p>
        </w:tc>
        <w:tc>
          <w:tcPr>
            <w:tcW w:w="855" w:type="dxa"/>
            <w:tcBorders>
              <w:bottom w:val="single" w:sz="6" w:space="0" w:color="000000"/>
              <w:right w:val="single" w:sz="6" w:space="0" w:color="000000"/>
            </w:tcBorders>
            <w:tcMar>
              <w:top w:w="40" w:type="dxa"/>
              <w:left w:w="40" w:type="dxa"/>
              <w:bottom w:w="40" w:type="dxa"/>
              <w:right w:w="40" w:type="dxa"/>
            </w:tcMar>
          </w:tcPr>
          <w:p w14:paraId="79FFC371"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National websites</w:t>
            </w:r>
          </w:p>
        </w:tc>
        <w:tc>
          <w:tcPr>
            <w:tcW w:w="1950" w:type="dxa"/>
            <w:tcBorders>
              <w:bottom w:val="single" w:sz="6" w:space="0" w:color="000000"/>
              <w:right w:val="single" w:sz="6" w:space="0" w:color="000000"/>
            </w:tcBorders>
            <w:tcMar>
              <w:top w:w="40" w:type="dxa"/>
              <w:left w:w="40" w:type="dxa"/>
              <w:bottom w:w="40" w:type="dxa"/>
              <w:right w:w="40" w:type="dxa"/>
            </w:tcMar>
          </w:tcPr>
          <w:p w14:paraId="63F9CAE6"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platform for geographical visualisation; 1 = There is but with limitations on the five items; 2 = There is but with limitations on four items; 3 = There is but with limitations on three or two items; 4 = There is but with limitations on one item; 5 = There is and do not have limitations on the five items.</w:t>
            </w:r>
          </w:p>
        </w:tc>
        <w:tc>
          <w:tcPr>
            <w:tcW w:w="900" w:type="dxa"/>
            <w:tcBorders>
              <w:bottom w:val="single" w:sz="6" w:space="0" w:color="000000"/>
              <w:right w:val="single" w:sz="6" w:space="0" w:color="000000"/>
            </w:tcBorders>
            <w:tcMar>
              <w:top w:w="40" w:type="dxa"/>
              <w:left w:w="40" w:type="dxa"/>
              <w:bottom w:w="40" w:type="dxa"/>
              <w:right w:w="40" w:type="dxa"/>
            </w:tcMar>
          </w:tcPr>
          <w:p w14:paraId="00E9B559"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0.30</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20DEB801"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National or sub-national</w:t>
            </w:r>
          </w:p>
        </w:tc>
      </w:tr>
      <w:tr w:rsidR="002033A5" w:rsidRPr="00E619C8" w14:paraId="72920712" w14:textId="77777777">
        <w:trPr>
          <w:trHeight w:val="1050"/>
        </w:trPr>
        <w:tc>
          <w:tcPr>
            <w:tcW w:w="690" w:type="dxa"/>
            <w:tcBorders>
              <w:top w:val="nil"/>
              <w:left w:val="single" w:sz="8" w:space="0" w:color="000000"/>
              <w:bottom w:val="single" w:sz="8" w:space="0" w:color="000000"/>
              <w:right w:val="single" w:sz="8" w:space="0" w:color="000000"/>
            </w:tcBorders>
            <w:shd w:val="clear" w:color="auto" w:fill="808080"/>
            <w:tcMar>
              <w:top w:w="100" w:type="dxa"/>
              <w:left w:w="80" w:type="dxa"/>
              <w:bottom w:w="100" w:type="dxa"/>
              <w:right w:w="80" w:type="dxa"/>
            </w:tcMar>
          </w:tcPr>
          <w:p w14:paraId="5CE3D558" w14:textId="77777777" w:rsidR="002033A5" w:rsidRPr="00E619C8" w:rsidRDefault="00E113EC">
            <w:pPr>
              <w:spacing w:after="160" w:line="276" w:lineRule="auto"/>
              <w:ind w:left="-180"/>
              <w:jc w:val="center"/>
              <w:rPr>
                <w:rFonts w:ascii="Arial" w:eastAsia="Arial" w:hAnsi="Arial" w:cs="Arial"/>
                <w:color w:val="FFFFFF"/>
                <w:sz w:val="12"/>
                <w:szCs w:val="12"/>
              </w:rPr>
            </w:pPr>
            <w:r w:rsidRPr="00E619C8">
              <w:rPr>
                <w:rFonts w:ascii="Arial" w:eastAsia="Arial" w:hAnsi="Arial" w:cs="Arial"/>
                <w:color w:val="FFFFFF"/>
                <w:sz w:val="12"/>
                <w:szCs w:val="12"/>
              </w:rPr>
              <w:t>2</w:t>
            </w:r>
          </w:p>
        </w:tc>
        <w:tc>
          <w:tcPr>
            <w:tcW w:w="855"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2B7C82E6" w14:textId="77777777" w:rsidR="002033A5" w:rsidRPr="00E619C8" w:rsidRDefault="00E113EC">
            <w:pPr>
              <w:spacing w:after="160" w:line="276" w:lineRule="auto"/>
              <w:ind w:left="-12"/>
              <w:jc w:val="both"/>
              <w:rPr>
                <w:rFonts w:ascii="Arial" w:eastAsia="Arial" w:hAnsi="Arial" w:cs="Arial"/>
                <w:color w:val="FFFFFF"/>
                <w:sz w:val="12"/>
                <w:szCs w:val="12"/>
              </w:rPr>
            </w:pPr>
            <w:r w:rsidRPr="00E619C8">
              <w:rPr>
                <w:rFonts w:ascii="Arial" w:eastAsia="Arial" w:hAnsi="Arial" w:cs="Arial"/>
                <w:color w:val="FFFFFF"/>
                <w:sz w:val="12"/>
                <w:szCs w:val="12"/>
              </w:rPr>
              <w:t>Dimension</w:t>
            </w:r>
          </w:p>
        </w:tc>
        <w:tc>
          <w:tcPr>
            <w:tcW w:w="1140"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62B67F54" w14:textId="77777777" w:rsidR="002033A5" w:rsidRPr="00E619C8" w:rsidRDefault="00E113EC">
            <w:pPr>
              <w:spacing w:after="160" w:line="276" w:lineRule="auto"/>
              <w:rPr>
                <w:rFonts w:ascii="Arial" w:eastAsia="Arial" w:hAnsi="Arial" w:cs="Arial"/>
                <w:color w:val="FFFFFF"/>
                <w:sz w:val="12"/>
                <w:szCs w:val="12"/>
              </w:rPr>
            </w:pPr>
            <w:r w:rsidRPr="00E619C8">
              <w:rPr>
                <w:rFonts w:ascii="Arial" w:eastAsia="Arial" w:hAnsi="Arial" w:cs="Arial"/>
                <w:color w:val="FFFFFF"/>
                <w:sz w:val="12"/>
                <w:szCs w:val="12"/>
              </w:rPr>
              <w:t>Capacities and processes</w:t>
            </w:r>
          </w:p>
        </w:tc>
        <w:tc>
          <w:tcPr>
            <w:tcW w:w="1710"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0E3FA830" w14:textId="77777777" w:rsidR="002033A5" w:rsidRPr="00E619C8" w:rsidRDefault="00E113EC">
            <w:pPr>
              <w:spacing w:line="276" w:lineRule="auto"/>
              <w:rPr>
                <w:rFonts w:ascii="Arial" w:eastAsia="Arial" w:hAnsi="Arial" w:cs="Arial"/>
                <w:color w:val="FFFFFF"/>
                <w:sz w:val="12"/>
                <w:szCs w:val="12"/>
              </w:rPr>
            </w:pPr>
            <w:r w:rsidRPr="00E619C8">
              <w:rPr>
                <w:rFonts w:ascii="Arial" w:eastAsia="Arial" w:hAnsi="Arial" w:cs="Arial"/>
                <w:color w:val="FFFFFF"/>
                <w:sz w:val="12"/>
                <w:szCs w:val="12"/>
              </w:rPr>
              <w:t>Evaluates the soundness of procuring entities’ procedures and capacities to disclose data and information.</w:t>
            </w:r>
          </w:p>
        </w:tc>
        <w:tc>
          <w:tcPr>
            <w:tcW w:w="855"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3B23F7C7" w14:textId="77777777" w:rsidR="002033A5" w:rsidRPr="00E619C8" w:rsidRDefault="00E113EC">
            <w:pPr>
              <w:spacing w:after="160" w:line="276" w:lineRule="auto"/>
              <w:rPr>
                <w:rFonts w:ascii="Arial" w:eastAsia="Arial" w:hAnsi="Arial" w:cs="Arial"/>
                <w:color w:val="FFFFFF"/>
                <w:sz w:val="12"/>
                <w:szCs w:val="12"/>
              </w:rPr>
            </w:pPr>
            <w:r w:rsidRPr="00E619C8">
              <w:rPr>
                <w:rFonts w:ascii="Arial" w:eastAsia="Arial" w:hAnsi="Arial" w:cs="Arial"/>
                <w:color w:val="FFFFFF"/>
                <w:sz w:val="12"/>
                <w:szCs w:val="12"/>
              </w:rPr>
              <w:t xml:space="preserve"> </w:t>
            </w:r>
          </w:p>
        </w:tc>
        <w:tc>
          <w:tcPr>
            <w:tcW w:w="1950"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6DE56BED" w14:textId="77777777" w:rsidR="002033A5" w:rsidRPr="00E619C8" w:rsidRDefault="00E113EC">
            <w:pPr>
              <w:spacing w:line="276" w:lineRule="auto"/>
              <w:rPr>
                <w:rFonts w:ascii="Arial" w:eastAsia="Arial" w:hAnsi="Arial" w:cs="Arial"/>
                <w:color w:val="FFFFFF"/>
                <w:sz w:val="12"/>
                <w:szCs w:val="12"/>
              </w:rPr>
            </w:pPr>
            <w:r w:rsidRPr="00E619C8">
              <w:rPr>
                <w:rFonts w:ascii="Arial" w:eastAsia="Arial" w:hAnsi="Arial" w:cs="Arial"/>
                <w:color w:val="FFFFFF"/>
                <w:sz w:val="12"/>
                <w:szCs w:val="12"/>
              </w:rPr>
              <w:t>The indicators of this dimension are evaluated “</w:t>
            </w:r>
            <w:r w:rsidRPr="00E619C8">
              <w:rPr>
                <w:rFonts w:ascii="Arial" w:eastAsia="Arial" w:hAnsi="Arial" w:cs="Arial"/>
                <w:i/>
                <w:iCs/>
                <w:color w:val="FFFFFF"/>
                <w:sz w:val="12"/>
                <w:szCs w:val="12"/>
              </w:rPr>
              <w:t>n</w:t>
            </w:r>
            <w:r w:rsidRPr="00E619C8">
              <w:rPr>
                <w:rFonts w:ascii="Arial" w:eastAsia="Arial" w:hAnsi="Arial" w:cs="Arial"/>
                <w:color w:val="FFFFFF"/>
                <w:sz w:val="12"/>
                <w:szCs w:val="12"/>
                <w:vertAlign w:val="subscript"/>
              </w:rPr>
              <w:t>e</w:t>
            </w:r>
            <w:r w:rsidRPr="00E619C8">
              <w:rPr>
                <w:rFonts w:ascii="Arial" w:eastAsia="Arial" w:hAnsi="Arial" w:cs="Arial"/>
                <w:color w:val="FFFFFF"/>
                <w:sz w:val="12"/>
                <w:szCs w:val="12"/>
              </w:rPr>
              <w:t>” times at the procuring entity level.</w:t>
            </w:r>
          </w:p>
        </w:tc>
        <w:tc>
          <w:tcPr>
            <w:tcW w:w="900"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156A4CC0" w14:textId="77777777" w:rsidR="002033A5" w:rsidRPr="00E619C8" w:rsidRDefault="00E113EC">
            <w:pPr>
              <w:spacing w:after="160" w:line="276" w:lineRule="auto"/>
              <w:jc w:val="center"/>
              <w:rPr>
                <w:rFonts w:ascii="Arial" w:eastAsia="Arial" w:hAnsi="Arial" w:cs="Arial"/>
                <w:color w:val="FFFFFF"/>
                <w:sz w:val="12"/>
                <w:szCs w:val="12"/>
              </w:rPr>
            </w:pPr>
            <w:r w:rsidRPr="00E619C8">
              <w:rPr>
                <w:rFonts w:ascii="Arial" w:eastAsia="Arial" w:hAnsi="Arial" w:cs="Arial"/>
                <w:color w:val="FFFFFF"/>
                <w:sz w:val="12"/>
                <w:szCs w:val="12"/>
              </w:rPr>
              <w:t>0.25 when calculating the national or sub-national ITI score</w:t>
            </w:r>
          </w:p>
          <w:p w14:paraId="2A0F1993" w14:textId="77777777" w:rsidR="002033A5" w:rsidRPr="00E619C8" w:rsidRDefault="00E113EC">
            <w:pPr>
              <w:spacing w:after="160" w:line="276" w:lineRule="auto"/>
              <w:jc w:val="center"/>
              <w:rPr>
                <w:rFonts w:ascii="Arial" w:eastAsia="Arial" w:hAnsi="Arial" w:cs="Arial"/>
                <w:color w:val="FFFFFF"/>
                <w:sz w:val="12"/>
                <w:szCs w:val="12"/>
              </w:rPr>
            </w:pPr>
            <w:r w:rsidRPr="00E619C8">
              <w:rPr>
                <w:rFonts w:ascii="Arial" w:eastAsia="Arial" w:hAnsi="Arial" w:cs="Arial"/>
                <w:color w:val="FFFFFF"/>
                <w:sz w:val="12"/>
                <w:szCs w:val="12"/>
              </w:rPr>
              <w:t>0.35 when calculating the procuring entity ITI score</w:t>
            </w:r>
          </w:p>
        </w:tc>
        <w:tc>
          <w:tcPr>
            <w:tcW w:w="930"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2054DC3E" w14:textId="77777777" w:rsidR="002033A5" w:rsidRPr="00E619C8" w:rsidRDefault="002033A5">
            <w:pPr>
              <w:spacing w:after="160" w:line="300" w:lineRule="auto"/>
              <w:jc w:val="both"/>
              <w:rPr>
                <w:rFonts w:ascii="Arial" w:eastAsia="Arial" w:hAnsi="Arial" w:cs="Arial"/>
                <w:sz w:val="12"/>
                <w:szCs w:val="12"/>
              </w:rPr>
            </w:pPr>
          </w:p>
        </w:tc>
      </w:tr>
      <w:tr w:rsidR="002033A5" w:rsidRPr="00E619C8" w14:paraId="30105681" w14:textId="77777777">
        <w:tc>
          <w:tcPr>
            <w:tcW w:w="690" w:type="dxa"/>
            <w:tcBorders>
              <w:top w:val="nil"/>
              <w:left w:val="single" w:sz="8" w:space="0" w:color="000000"/>
              <w:bottom w:val="single" w:sz="8" w:space="0" w:color="000000"/>
              <w:right w:val="single" w:sz="8" w:space="0" w:color="000000"/>
            </w:tcBorders>
            <w:shd w:val="clear" w:color="auto" w:fill="A6A6A6"/>
            <w:tcMar>
              <w:top w:w="100" w:type="dxa"/>
              <w:left w:w="80" w:type="dxa"/>
              <w:bottom w:w="100" w:type="dxa"/>
              <w:right w:w="80" w:type="dxa"/>
            </w:tcMar>
          </w:tcPr>
          <w:p w14:paraId="6726217E"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2.1</w:t>
            </w:r>
          </w:p>
        </w:tc>
        <w:tc>
          <w:tcPr>
            <w:tcW w:w="855"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3CDFC474"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Variable</w:t>
            </w:r>
          </w:p>
        </w:tc>
        <w:tc>
          <w:tcPr>
            <w:tcW w:w="114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6F805C45" w14:textId="77777777" w:rsidR="002033A5" w:rsidRPr="00E619C8" w:rsidRDefault="00E113EC">
            <w:pPr>
              <w:spacing w:after="160" w:line="276" w:lineRule="auto"/>
              <w:rPr>
                <w:rFonts w:ascii="Arial" w:eastAsia="Arial" w:hAnsi="Arial" w:cs="Arial"/>
                <w:sz w:val="12"/>
                <w:szCs w:val="12"/>
              </w:rPr>
            </w:pPr>
            <w:r w:rsidRPr="00E619C8">
              <w:rPr>
                <w:rFonts w:ascii="Arial" w:eastAsia="Arial" w:hAnsi="Arial" w:cs="Arial"/>
                <w:sz w:val="12"/>
                <w:szCs w:val="12"/>
              </w:rPr>
              <w:t>Institutional capacities</w:t>
            </w:r>
          </w:p>
        </w:tc>
        <w:tc>
          <w:tcPr>
            <w:tcW w:w="171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2A60C3DF" w14:textId="77777777" w:rsidR="002033A5" w:rsidRPr="00E619C8" w:rsidRDefault="002033A5">
            <w:pPr>
              <w:spacing w:line="300" w:lineRule="auto"/>
              <w:rPr>
                <w:rFonts w:ascii="Arial" w:eastAsia="Arial" w:hAnsi="Arial" w:cs="Arial"/>
                <w:sz w:val="12"/>
                <w:szCs w:val="12"/>
              </w:rPr>
            </w:pPr>
          </w:p>
        </w:tc>
        <w:tc>
          <w:tcPr>
            <w:tcW w:w="855"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5D46FEC7" w14:textId="77777777" w:rsidR="002033A5" w:rsidRPr="00E619C8" w:rsidRDefault="002033A5">
            <w:pPr>
              <w:spacing w:after="160" w:line="300" w:lineRule="auto"/>
              <w:rPr>
                <w:rFonts w:ascii="Arial" w:eastAsia="Arial" w:hAnsi="Arial" w:cs="Arial"/>
                <w:sz w:val="12"/>
                <w:szCs w:val="12"/>
              </w:rPr>
            </w:pPr>
          </w:p>
        </w:tc>
        <w:tc>
          <w:tcPr>
            <w:tcW w:w="195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07A8FE0D" w14:textId="77777777" w:rsidR="002033A5" w:rsidRPr="00E619C8" w:rsidRDefault="002033A5">
            <w:pPr>
              <w:spacing w:line="300" w:lineRule="auto"/>
              <w:rPr>
                <w:rFonts w:ascii="Arial" w:eastAsia="Arial" w:hAnsi="Arial" w:cs="Arial"/>
                <w:sz w:val="12"/>
                <w:szCs w:val="12"/>
              </w:rPr>
            </w:pPr>
          </w:p>
        </w:tc>
        <w:tc>
          <w:tcPr>
            <w:tcW w:w="90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7926DF75"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0.40</w:t>
            </w:r>
          </w:p>
        </w:tc>
        <w:tc>
          <w:tcPr>
            <w:tcW w:w="93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6357882F" w14:textId="77777777" w:rsidR="002033A5" w:rsidRPr="00E619C8" w:rsidRDefault="002033A5">
            <w:pPr>
              <w:spacing w:after="160" w:line="300" w:lineRule="auto"/>
              <w:jc w:val="both"/>
              <w:rPr>
                <w:rFonts w:ascii="Arial" w:eastAsia="Arial" w:hAnsi="Arial" w:cs="Arial"/>
                <w:sz w:val="12"/>
                <w:szCs w:val="12"/>
              </w:rPr>
            </w:pPr>
          </w:p>
        </w:tc>
      </w:tr>
      <w:tr w:rsidR="002033A5" w:rsidRPr="00E619C8" w14:paraId="5447CFF1" w14:textId="77777777">
        <w:trPr>
          <w:trHeight w:val="360"/>
        </w:trPr>
        <w:tc>
          <w:tcPr>
            <w:tcW w:w="690" w:type="dxa"/>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7DD36E1F"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2.1.1</w:t>
            </w:r>
          </w:p>
        </w:tc>
        <w:tc>
          <w:tcPr>
            <w:tcW w:w="855"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3334A49B"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Sub-variable</w:t>
            </w:r>
          </w:p>
        </w:tc>
        <w:tc>
          <w:tcPr>
            <w:tcW w:w="1140"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059BA634" w14:textId="77777777" w:rsidR="002033A5" w:rsidRPr="00E619C8" w:rsidRDefault="00E113EC">
            <w:pPr>
              <w:widowControl w:val="0"/>
              <w:spacing w:line="276" w:lineRule="auto"/>
              <w:rPr>
                <w:rFonts w:ascii="Arial" w:eastAsia="Arial" w:hAnsi="Arial" w:cs="Arial"/>
                <w:sz w:val="20"/>
                <w:szCs w:val="20"/>
              </w:rPr>
            </w:pPr>
            <w:r w:rsidRPr="00E619C8">
              <w:rPr>
                <w:rFonts w:ascii="Arial" w:eastAsia="Arial" w:hAnsi="Arial" w:cs="Arial"/>
                <w:sz w:val="14"/>
                <w:szCs w:val="14"/>
              </w:rPr>
              <w:t>Basic knowledge</w:t>
            </w:r>
          </w:p>
        </w:tc>
        <w:tc>
          <w:tcPr>
            <w:tcW w:w="171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3F43CED7" w14:textId="77777777" w:rsidR="002033A5" w:rsidRPr="00E619C8" w:rsidRDefault="00E113EC">
            <w:pPr>
              <w:widowControl w:val="0"/>
              <w:spacing w:line="276" w:lineRule="auto"/>
              <w:rPr>
                <w:rFonts w:ascii="Arial" w:eastAsia="Arial" w:hAnsi="Arial" w:cs="Arial"/>
                <w:sz w:val="20"/>
                <w:szCs w:val="20"/>
              </w:rPr>
            </w:pPr>
            <w:r w:rsidRPr="00E619C8">
              <w:rPr>
                <w:rFonts w:ascii="Arial" w:eastAsia="Arial" w:hAnsi="Arial" w:cs="Arial"/>
                <w:sz w:val="14"/>
                <w:szCs w:val="14"/>
              </w:rPr>
              <w:t>Assesses the knowledge of public officers on subjects of access to information and transparency in public infrastructure.</w:t>
            </w:r>
          </w:p>
        </w:tc>
        <w:tc>
          <w:tcPr>
            <w:tcW w:w="855"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2762DF8E" w14:textId="77777777" w:rsidR="002033A5" w:rsidRPr="00E619C8" w:rsidRDefault="002033A5">
            <w:pPr>
              <w:widowControl w:val="0"/>
              <w:spacing w:line="276" w:lineRule="auto"/>
              <w:rPr>
                <w:rFonts w:ascii="Arial" w:eastAsia="Arial" w:hAnsi="Arial" w:cs="Arial"/>
                <w:sz w:val="20"/>
                <w:szCs w:val="20"/>
              </w:rPr>
            </w:pPr>
          </w:p>
        </w:tc>
        <w:tc>
          <w:tcPr>
            <w:tcW w:w="195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17270F13" w14:textId="77777777" w:rsidR="002033A5" w:rsidRPr="00E619C8" w:rsidRDefault="002033A5">
            <w:pPr>
              <w:widowControl w:val="0"/>
              <w:spacing w:line="276" w:lineRule="auto"/>
              <w:rPr>
                <w:rFonts w:ascii="Arial" w:eastAsia="Arial" w:hAnsi="Arial" w:cs="Arial"/>
                <w:sz w:val="20"/>
                <w:szCs w:val="20"/>
              </w:rPr>
            </w:pPr>
          </w:p>
        </w:tc>
        <w:tc>
          <w:tcPr>
            <w:tcW w:w="90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07A0020" w14:textId="77777777" w:rsidR="002033A5" w:rsidRPr="00E619C8" w:rsidRDefault="00E113EC">
            <w:pPr>
              <w:widowControl w:val="0"/>
              <w:spacing w:line="276" w:lineRule="auto"/>
              <w:jc w:val="center"/>
              <w:rPr>
                <w:rFonts w:ascii="Arial" w:eastAsia="Arial" w:hAnsi="Arial" w:cs="Arial"/>
                <w:sz w:val="20"/>
                <w:szCs w:val="20"/>
              </w:rPr>
            </w:pPr>
            <w:r w:rsidRPr="00E619C8">
              <w:rPr>
                <w:rFonts w:ascii="Arial" w:eastAsia="Arial" w:hAnsi="Arial" w:cs="Arial"/>
                <w:sz w:val="14"/>
                <w:szCs w:val="14"/>
              </w:rPr>
              <w:t>0.5</w:t>
            </w:r>
          </w:p>
        </w:tc>
        <w:tc>
          <w:tcPr>
            <w:tcW w:w="930"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7363BC9D" w14:textId="77777777" w:rsidR="002033A5" w:rsidRPr="00E619C8" w:rsidRDefault="002033A5">
            <w:pPr>
              <w:spacing w:after="160" w:line="300" w:lineRule="auto"/>
              <w:jc w:val="both"/>
              <w:rPr>
                <w:rFonts w:ascii="Arial" w:eastAsia="Arial" w:hAnsi="Arial" w:cs="Arial"/>
                <w:sz w:val="12"/>
                <w:szCs w:val="12"/>
              </w:rPr>
            </w:pPr>
          </w:p>
        </w:tc>
      </w:tr>
      <w:tr w:rsidR="002033A5" w:rsidRPr="00E619C8" w14:paraId="7AFB6881" w14:textId="77777777">
        <w:trPr>
          <w:trHeight w:val="154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2012298"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2.1.1.1</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60991D73"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6D0BA4C2"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Knowledge about the access-to-information regulatory framework</w:t>
            </w:r>
          </w:p>
        </w:tc>
        <w:tc>
          <w:tcPr>
            <w:tcW w:w="1710" w:type="dxa"/>
            <w:tcBorders>
              <w:bottom w:val="single" w:sz="6" w:space="0" w:color="000000"/>
              <w:right w:val="single" w:sz="6" w:space="0" w:color="000000"/>
            </w:tcBorders>
            <w:tcMar>
              <w:top w:w="40" w:type="dxa"/>
              <w:left w:w="40" w:type="dxa"/>
              <w:bottom w:w="40" w:type="dxa"/>
              <w:right w:w="40" w:type="dxa"/>
            </w:tcMar>
          </w:tcPr>
          <w:p w14:paraId="72BC9A76"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officer who completes the survey knows the national access-to-information regulation on public information and the main provisions on:</w:t>
            </w:r>
          </w:p>
          <w:p w14:paraId="487EA7F6"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proactive publication</w:t>
            </w:r>
          </w:p>
          <w:p w14:paraId="3DFE7563" w14:textId="1AD2AC84"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 </w:t>
            </w:r>
            <w:r w:rsidR="00034D75">
              <w:rPr>
                <w:rFonts w:ascii="Arial" w:eastAsia="Arial" w:hAnsi="Arial" w:cs="Arial"/>
                <w:sz w:val="12"/>
                <w:szCs w:val="12"/>
              </w:rPr>
              <w:t>Request for</w:t>
            </w:r>
            <w:r w:rsidRPr="00E619C8">
              <w:rPr>
                <w:rFonts w:ascii="Arial" w:eastAsia="Arial" w:hAnsi="Arial" w:cs="Arial"/>
                <w:sz w:val="12"/>
                <w:szCs w:val="12"/>
              </w:rPr>
              <w:t xml:space="preserve"> access</w:t>
            </w:r>
          </w:p>
          <w:p w14:paraId="65EA3BD1"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response periods</w:t>
            </w:r>
          </w:p>
          <w:p w14:paraId="6605AD7F"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roles and responsibilities</w:t>
            </w:r>
          </w:p>
          <w:p w14:paraId="02DDC28C"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sanctions over non-compliance</w:t>
            </w:r>
          </w:p>
          <w:p w14:paraId="107D2D6F" w14:textId="7ECE6DBD"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 </w:t>
            </w:r>
            <w:r w:rsidR="00034D75">
              <w:rPr>
                <w:rFonts w:ascii="Arial" w:eastAsia="Arial" w:hAnsi="Arial" w:cs="Arial"/>
                <w:sz w:val="12"/>
                <w:szCs w:val="12"/>
              </w:rPr>
              <w:t xml:space="preserve">an </w:t>
            </w:r>
            <w:r w:rsidRPr="00E619C8">
              <w:rPr>
                <w:rFonts w:ascii="Arial" w:eastAsia="Arial" w:hAnsi="Arial" w:cs="Arial"/>
                <w:sz w:val="12"/>
                <w:szCs w:val="12"/>
              </w:rPr>
              <w:t>organisation that guarantees compliance.</w:t>
            </w:r>
          </w:p>
        </w:tc>
        <w:tc>
          <w:tcPr>
            <w:tcW w:w="855" w:type="dxa"/>
            <w:tcBorders>
              <w:bottom w:val="single" w:sz="6" w:space="0" w:color="000000"/>
              <w:right w:val="single" w:sz="6" w:space="0" w:color="000000"/>
            </w:tcBorders>
            <w:tcMar>
              <w:top w:w="40" w:type="dxa"/>
              <w:left w:w="40" w:type="dxa"/>
              <w:bottom w:w="40" w:type="dxa"/>
              <w:right w:w="40" w:type="dxa"/>
            </w:tcMar>
          </w:tcPr>
          <w:p w14:paraId="2D44B420"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3FBEEDF7"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 officer does not know the regulation; 1 = Only knows it exists without being able to quote its content; 2 = Can quote key elements on one or two provisions; 3 = Can quote key elements on three provisions; 4 = Can quote key elements on four or five provisions; 5 = Describes key elements on the six provisions.</w:t>
            </w:r>
          </w:p>
        </w:tc>
        <w:tc>
          <w:tcPr>
            <w:tcW w:w="900" w:type="dxa"/>
            <w:tcBorders>
              <w:bottom w:val="single" w:sz="6" w:space="0" w:color="000000"/>
              <w:right w:val="single" w:sz="6" w:space="0" w:color="000000"/>
            </w:tcBorders>
            <w:tcMar>
              <w:top w:w="40" w:type="dxa"/>
              <w:left w:w="40" w:type="dxa"/>
              <w:bottom w:w="40" w:type="dxa"/>
              <w:right w:w="40" w:type="dxa"/>
            </w:tcMar>
          </w:tcPr>
          <w:p w14:paraId="1ABBFB5E"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38A7086F"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2CBA4190" w14:textId="77777777">
        <w:trPr>
          <w:trHeight w:val="133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9E5296E"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2.1.1.2</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07733183"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693F2C2E"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Knowledge about transparency initiatives in the infrastructure sector</w:t>
            </w:r>
          </w:p>
        </w:tc>
        <w:tc>
          <w:tcPr>
            <w:tcW w:w="1710" w:type="dxa"/>
            <w:tcBorders>
              <w:bottom w:val="single" w:sz="6" w:space="0" w:color="000000"/>
              <w:right w:val="single" w:sz="6" w:space="0" w:color="000000"/>
            </w:tcBorders>
            <w:tcMar>
              <w:top w:w="40" w:type="dxa"/>
              <w:left w:w="40" w:type="dxa"/>
              <w:bottom w:w="40" w:type="dxa"/>
              <w:right w:w="40" w:type="dxa"/>
            </w:tcMar>
          </w:tcPr>
          <w:p w14:paraId="378EC664"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officer who completes the survey knows the existence of the transparency initiative in the infrastructure sector, including its features on:</w:t>
            </w:r>
          </w:p>
          <w:p w14:paraId="7B5DB075"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What is CoST</w:t>
            </w:r>
          </w:p>
          <w:p w14:paraId="5447794E"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the multisectoral group</w:t>
            </w:r>
          </w:p>
          <w:p w14:paraId="55058877"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the data disclosure</w:t>
            </w:r>
          </w:p>
          <w:p w14:paraId="505122FB"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the assurance</w:t>
            </w:r>
          </w:p>
          <w:p w14:paraId="53B7EAA6"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the social accountability.</w:t>
            </w:r>
          </w:p>
        </w:tc>
        <w:tc>
          <w:tcPr>
            <w:tcW w:w="855" w:type="dxa"/>
            <w:tcBorders>
              <w:bottom w:val="single" w:sz="6" w:space="0" w:color="000000"/>
              <w:right w:val="single" w:sz="6" w:space="0" w:color="000000"/>
            </w:tcBorders>
            <w:tcMar>
              <w:top w:w="40" w:type="dxa"/>
              <w:left w:w="40" w:type="dxa"/>
              <w:bottom w:w="40" w:type="dxa"/>
              <w:right w:w="40" w:type="dxa"/>
            </w:tcMar>
          </w:tcPr>
          <w:p w14:paraId="51B1B89F"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2A048F31"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 officer does not know about CoST initiative; 1 = Only knows it exists, without being able to quote on its scope; 2 = Can quote key elements on one feature; 3 = Can quote key elements on two or three features; 4 = Can quote key elements on four features; 5 = Describes key elements on the five features.</w:t>
            </w:r>
          </w:p>
        </w:tc>
        <w:tc>
          <w:tcPr>
            <w:tcW w:w="900" w:type="dxa"/>
            <w:tcBorders>
              <w:bottom w:val="single" w:sz="6" w:space="0" w:color="000000"/>
              <w:right w:val="single" w:sz="6" w:space="0" w:color="000000"/>
            </w:tcBorders>
            <w:tcMar>
              <w:top w:w="40" w:type="dxa"/>
              <w:left w:w="40" w:type="dxa"/>
              <w:bottom w:w="40" w:type="dxa"/>
              <w:right w:w="40" w:type="dxa"/>
            </w:tcMar>
          </w:tcPr>
          <w:p w14:paraId="0BF62611"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7D1F16CA"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736A272A" w14:textId="77777777">
        <w:trPr>
          <w:trHeight w:val="100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07206A9"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2.1.1.3</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3176309A"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1E33480F"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Knowledge about the transparency data standard in the infrastructure sector</w:t>
            </w:r>
          </w:p>
        </w:tc>
        <w:tc>
          <w:tcPr>
            <w:tcW w:w="1710" w:type="dxa"/>
            <w:tcBorders>
              <w:bottom w:val="single" w:sz="6" w:space="0" w:color="000000"/>
              <w:right w:val="single" w:sz="6" w:space="0" w:color="000000"/>
            </w:tcBorders>
            <w:tcMar>
              <w:top w:w="40" w:type="dxa"/>
              <w:left w:w="40" w:type="dxa"/>
              <w:bottom w:w="40" w:type="dxa"/>
              <w:right w:w="40" w:type="dxa"/>
            </w:tcMar>
          </w:tcPr>
          <w:p w14:paraId="30602AB3"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officer who completes the survey knows the national or sub-national transparency data standard for the infrastructure sector and its requirements.</w:t>
            </w:r>
          </w:p>
        </w:tc>
        <w:tc>
          <w:tcPr>
            <w:tcW w:w="855" w:type="dxa"/>
            <w:tcBorders>
              <w:bottom w:val="single" w:sz="6" w:space="0" w:color="000000"/>
              <w:right w:val="single" w:sz="6" w:space="0" w:color="000000"/>
            </w:tcBorders>
            <w:tcMar>
              <w:top w:w="40" w:type="dxa"/>
              <w:left w:w="40" w:type="dxa"/>
              <w:bottom w:w="40" w:type="dxa"/>
              <w:right w:w="40" w:type="dxa"/>
            </w:tcMar>
          </w:tcPr>
          <w:p w14:paraId="7452DC8B"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29E3BBF1"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 officer does not know it or it does not exists; 1 = Only knows it exists without being able to quote its scope; 3 = Can quote the framework that contains it and its scope; 4 = besides the previous, can quote some of its data points by stage; 5 = Besides the previous, indicates the level of adoption of his/her institution; or knows there is no data standard (if it were so).</w:t>
            </w:r>
          </w:p>
        </w:tc>
        <w:tc>
          <w:tcPr>
            <w:tcW w:w="900" w:type="dxa"/>
            <w:tcBorders>
              <w:bottom w:val="single" w:sz="6" w:space="0" w:color="000000"/>
              <w:right w:val="single" w:sz="6" w:space="0" w:color="000000"/>
            </w:tcBorders>
            <w:tcMar>
              <w:top w:w="40" w:type="dxa"/>
              <w:left w:w="40" w:type="dxa"/>
              <w:bottom w:w="40" w:type="dxa"/>
              <w:right w:w="40" w:type="dxa"/>
            </w:tcMar>
          </w:tcPr>
          <w:p w14:paraId="20ADDCF3"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49022C4B"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327B7711" w14:textId="77777777">
        <w:trPr>
          <w:trHeight w:val="1069"/>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A6D6201"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2.1.1.4</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6155A1D8"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2D2EC15F" w14:textId="71214B46"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 xml:space="preserve">Knowledge about sanctions due to non-compliance </w:t>
            </w:r>
            <w:r w:rsidR="00034D75">
              <w:rPr>
                <w:rFonts w:ascii="Arial" w:eastAsia="Arial" w:hAnsi="Arial" w:cs="Arial"/>
                <w:sz w:val="12"/>
                <w:szCs w:val="12"/>
              </w:rPr>
              <w:t>with</w:t>
            </w:r>
            <w:r w:rsidRPr="00E619C8">
              <w:rPr>
                <w:rFonts w:ascii="Arial" w:eastAsia="Arial" w:hAnsi="Arial" w:cs="Arial"/>
                <w:sz w:val="12"/>
                <w:szCs w:val="12"/>
              </w:rPr>
              <w:t xml:space="preserve"> the access-to-public-information regulatory framework</w:t>
            </w:r>
          </w:p>
        </w:tc>
        <w:tc>
          <w:tcPr>
            <w:tcW w:w="1710" w:type="dxa"/>
            <w:tcBorders>
              <w:bottom w:val="single" w:sz="6" w:space="0" w:color="000000"/>
              <w:right w:val="single" w:sz="6" w:space="0" w:color="000000"/>
            </w:tcBorders>
            <w:tcMar>
              <w:top w:w="40" w:type="dxa"/>
              <w:left w:w="40" w:type="dxa"/>
              <w:bottom w:w="40" w:type="dxa"/>
              <w:right w:w="40" w:type="dxa"/>
            </w:tcMar>
          </w:tcPr>
          <w:p w14:paraId="75BD348C"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officer who completes the survey knows the sanctions applied for non-compliance with the standards of access to public information and/or State contracts, including their:</w:t>
            </w:r>
          </w:p>
          <w:p w14:paraId="7695D34C"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processes</w:t>
            </w:r>
          </w:p>
          <w:p w14:paraId="6CD7EEC9"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roles and responsibilities</w:t>
            </w:r>
          </w:p>
          <w:p w14:paraId="32F08FAE"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penalties.</w:t>
            </w:r>
          </w:p>
        </w:tc>
        <w:tc>
          <w:tcPr>
            <w:tcW w:w="855" w:type="dxa"/>
            <w:tcBorders>
              <w:bottom w:val="single" w:sz="6" w:space="0" w:color="000000"/>
              <w:right w:val="single" w:sz="6" w:space="0" w:color="000000"/>
            </w:tcBorders>
            <w:tcMar>
              <w:top w:w="40" w:type="dxa"/>
              <w:left w:w="40" w:type="dxa"/>
              <w:bottom w:w="40" w:type="dxa"/>
              <w:right w:w="40" w:type="dxa"/>
            </w:tcMar>
          </w:tcPr>
          <w:p w14:paraId="51C4C706"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05140F98" w14:textId="4CB5CDCB"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 officer does not know about sanctions; 2 = Knows there are sanctions but cannot quote key elements; 3 = Knows key elements of one feature; 4 = Knows key elements of two features; 5 = Knows key elements of the three features</w:t>
            </w:r>
            <w:r w:rsidR="00034D75">
              <w:rPr>
                <w:rFonts w:ascii="Arial" w:eastAsia="Arial" w:hAnsi="Arial" w:cs="Arial"/>
                <w:sz w:val="12"/>
                <w:szCs w:val="12"/>
              </w:rPr>
              <w:t>,</w:t>
            </w:r>
            <w:r w:rsidRPr="00E619C8">
              <w:rPr>
                <w:rFonts w:ascii="Arial" w:eastAsia="Arial" w:hAnsi="Arial" w:cs="Arial"/>
                <w:sz w:val="12"/>
                <w:szCs w:val="12"/>
              </w:rPr>
              <w:t xml:space="preserve"> or knows that the regulations do not include sanctions (if </w:t>
            </w:r>
            <w:r w:rsidR="000A600E">
              <w:rPr>
                <w:rFonts w:ascii="Arial" w:eastAsia="Arial" w:hAnsi="Arial" w:cs="Arial"/>
                <w:sz w:val="12"/>
                <w:szCs w:val="12"/>
              </w:rPr>
              <w:t>they did</w:t>
            </w:r>
            <w:r w:rsidRPr="00E619C8">
              <w:rPr>
                <w:rFonts w:ascii="Arial" w:eastAsia="Arial" w:hAnsi="Arial" w:cs="Arial"/>
                <w:sz w:val="12"/>
                <w:szCs w:val="12"/>
              </w:rPr>
              <w:t>).</w:t>
            </w:r>
          </w:p>
        </w:tc>
        <w:tc>
          <w:tcPr>
            <w:tcW w:w="900" w:type="dxa"/>
            <w:tcBorders>
              <w:bottom w:val="single" w:sz="6" w:space="0" w:color="000000"/>
              <w:right w:val="single" w:sz="6" w:space="0" w:color="000000"/>
            </w:tcBorders>
            <w:tcMar>
              <w:top w:w="40" w:type="dxa"/>
              <w:left w:w="40" w:type="dxa"/>
              <w:bottom w:w="40" w:type="dxa"/>
              <w:right w:w="40" w:type="dxa"/>
            </w:tcMar>
          </w:tcPr>
          <w:p w14:paraId="6DA6E899"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37362022"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6D2ED600" w14:textId="77777777">
        <w:trPr>
          <w:trHeight w:val="103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593A24A"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2.1.1.5</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4BC5C5ED"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7D46F527"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Knowledge about different data categories</w:t>
            </w:r>
          </w:p>
        </w:tc>
        <w:tc>
          <w:tcPr>
            <w:tcW w:w="1710" w:type="dxa"/>
            <w:tcBorders>
              <w:bottom w:val="single" w:sz="6" w:space="0" w:color="000000"/>
              <w:right w:val="single" w:sz="6" w:space="0" w:color="000000"/>
            </w:tcBorders>
            <w:tcMar>
              <w:top w:w="40" w:type="dxa"/>
              <w:left w:w="40" w:type="dxa"/>
              <w:bottom w:w="40" w:type="dxa"/>
              <w:right w:w="40" w:type="dxa"/>
            </w:tcMar>
          </w:tcPr>
          <w:p w14:paraId="2637D421"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officer who completes the survey knows what constitutes and the differences between:</w:t>
            </w:r>
          </w:p>
          <w:p w14:paraId="46D1AC50"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public data</w:t>
            </w:r>
          </w:p>
          <w:p w14:paraId="74CC46FC"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personal data</w:t>
            </w:r>
          </w:p>
          <w:p w14:paraId="5BCC2E27"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sensitive data</w:t>
            </w:r>
          </w:p>
          <w:p w14:paraId="43136AB4"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confidential data</w:t>
            </w:r>
          </w:p>
          <w:p w14:paraId="5AF161BE"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state secret data.</w:t>
            </w:r>
          </w:p>
        </w:tc>
        <w:tc>
          <w:tcPr>
            <w:tcW w:w="855" w:type="dxa"/>
            <w:tcBorders>
              <w:bottom w:val="single" w:sz="6" w:space="0" w:color="000000"/>
              <w:right w:val="single" w:sz="6" w:space="0" w:color="000000"/>
            </w:tcBorders>
            <w:tcMar>
              <w:top w:w="40" w:type="dxa"/>
              <w:left w:w="40" w:type="dxa"/>
              <w:bottom w:w="40" w:type="dxa"/>
              <w:right w:w="40" w:type="dxa"/>
            </w:tcMar>
          </w:tcPr>
          <w:p w14:paraId="793F9481"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17311AF1"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 officer does not know what the quoted type of data is; 1 = Knows the categories but cannot mention key elements; 2 = Knows key elements on one category; 3 = Knows key elements on two or three categories; 4 = Knows key elements on four categories; 5 = Knows key elements on the five categories.</w:t>
            </w:r>
          </w:p>
        </w:tc>
        <w:tc>
          <w:tcPr>
            <w:tcW w:w="900" w:type="dxa"/>
            <w:tcBorders>
              <w:bottom w:val="single" w:sz="6" w:space="0" w:color="000000"/>
              <w:right w:val="single" w:sz="6" w:space="0" w:color="000000"/>
            </w:tcBorders>
            <w:tcMar>
              <w:top w:w="40" w:type="dxa"/>
              <w:left w:w="40" w:type="dxa"/>
              <w:bottom w:w="40" w:type="dxa"/>
              <w:right w:w="40" w:type="dxa"/>
            </w:tcMar>
          </w:tcPr>
          <w:p w14:paraId="51E34F9D"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18721F7E"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5F4F1D3C" w14:textId="77777777">
        <w:trPr>
          <w:trHeight w:val="615"/>
        </w:trPr>
        <w:tc>
          <w:tcPr>
            <w:tcW w:w="690" w:type="dxa"/>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38D4A4CD"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2.1.2</w:t>
            </w:r>
          </w:p>
        </w:tc>
        <w:tc>
          <w:tcPr>
            <w:tcW w:w="855"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50C32E67"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Sub-variable</w:t>
            </w:r>
          </w:p>
        </w:tc>
        <w:tc>
          <w:tcPr>
            <w:tcW w:w="1140"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6AD80EC4"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Digital capacities</w:t>
            </w:r>
          </w:p>
        </w:tc>
        <w:tc>
          <w:tcPr>
            <w:tcW w:w="171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7DBB5DE0"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Assesses institutional capacities on the use of digital technologies to facilitate efficiency and transparency.</w:t>
            </w:r>
          </w:p>
        </w:tc>
        <w:tc>
          <w:tcPr>
            <w:tcW w:w="855"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180D5124" w14:textId="77777777" w:rsidR="002033A5" w:rsidRPr="00E619C8" w:rsidRDefault="002033A5">
            <w:pPr>
              <w:pBdr>
                <w:top w:val="nil"/>
                <w:left w:val="nil"/>
                <w:bottom w:val="nil"/>
                <w:right w:val="nil"/>
                <w:between w:val="nil"/>
              </w:pBdr>
              <w:spacing w:after="160" w:line="276" w:lineRule="auto"/>
              <w:rPr>
                <w:rFonts w:ascii="Arial" w:eastAsia="Arial" w:hAnsi="Arial" w:cs="Arial"/>
                <w:sz w:val="12"/>
                <w:szCs w:val="12"/>
              </w:rPr>
            </w:pPr>
          </w:p>
        </w:tc>
        <w:tc>
          <w:tcPr>
            <w:tcW w:w="195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1EE81CF"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90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45F6B0B9"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0.5</w:t>
            </w:r>
          </w:p>
        </w:tc>
        <w:tc>
          <w:tcPr>
            <w:tcW w:w="930"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23E690D6" w14:textId="77777777" w:rsidR="002033A5" w:rsidRPr="00E619C8" w:rsidRDefault="002033A5">
            <w:pPr>
              <w:spacing w:after="160" w:line="300" w:lineRule="auto"/>
              <w:jc w:val="both"/>
              <w:rPr>
                <w:rFonts w:ascii="Arial" w:eastAsia="Arial" w:hAnsi="Arial" w:cs="Arial"/>
                <w:sz w:val="12"/>
                <w:szCs w:val="12"/>
              </w:rPr>
            </w:pPr>
          </w:p>
        </w:tc>
      </w:tr>
      <w:tr w:rsidR="002033A5" w:rsidRPr="00E619C8" w14:paraId="749B67E3" w14:textId="77777777">
        <w:trPr>
          <w:trHeight w:val="1093"/>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921692D"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2.1.2.1</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11CCD026"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959EB63"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Computer equipment</w:t>
            </w:r>
          </w:p>
        </w:tc>
        <w:tc>
          <w:tcPr>
            <w:tcW w:w="1710" w:type="dxa"/>
            <w:tcBorders>
              <w:bottom w:val="single" w:sz="6" w:space="0" w:color="000000"/>
              <w:right w:val="single" w:sz="6" w:space="0" w:color="000000"/>
            </w:tcBorders>
            <w:tcMar>
              <w:top w:w="40" w:type="dxa"/>
              <w:left w:w="40" w:type="dxa"/>
              <w:bottom w:w="40" w:type="dxa"/>
              <w:right w:w="40" w:type="dxa"/>
            </w:tcMar>
          </w:tcPr>
          <w:p w14:paraId="09A82DE7"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entity has functional computer equipment for all personnel performing any type of administrative work.</w:t>
            </w:r>
          </w:p>
        </w:tc>
        <w:tc>
          <w:tcPr>
            <w:tcW w:w="855" w:type="dxa"/>
            <w:tcBorders>
              <w:bottom w:val="single" w:sz="6" w:space="0" w:color="000000"/>
              <w:right w:val="single" w:sz="6" w:space="0" w:color="000000"/>
            </w:tcBorders>
            <w:tcMar>
              <w:top w:w="40" w:type="dxa"/>
              <w:left w:w="40" w:type="dxa"/>
              <w:bottom w:w="40" w:type="dxa"/>
              <w:right w:w="40" w:type="dxa"/>
            </w:tcMar>
          </w:tcPr>
          <w:p w14:paraId="13F5B0D7"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538DEB3E"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access to functional computer equipment for any officer at the entity; 2 = A portion lower than half of officers performing administrative work have functional computer equipment; 3 = About half of officers performing administrative work have computer equipment; 4 = A portion above half of officers performing administrative work have computer equipment; 5 = All officers performing administrative work have functional computer equipment.</w:t>
            </w:r>
          </w:p>
        </w:tc>
        <w:tc>
          <w:tcPr>
            <w:tcW w:w="900" w:type="dxa"/>
            <w:tcBorders>
              <w:bottom w:val="single" w:sz="6" w:space="0" w:color="000000"/>
              <w:right w:val="single" w:sz="6" w:space="0" w:color="000000"/>
            </w:tcBorders>
            <w:tcMar>
              <w:top w:w="40" w:type="dxa"/>
              <w:left w:w="40" w:type="dxa"/>
              <w:bottom w:w="40" w:type="dxa"/>
              <w:right w:w="40" w:type="dxa"/>
            </w:tcMar>
          </w:tcPr>
          <w:p w14:paraId="068679C7"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6FFA6902"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7C888081" w14:textId="77777777">
        <w:trPr>
          <w:trHeight w:val="79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8ED5A8B"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2.1.2.2</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14B72957"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1B9B3D7"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Connectivity to the internet</w:t>
            </w:r>
          </w:p>
        </w:tc>
        <w:tc>
          <w:tcPr>
            <w:tcW w:w="1710" w:type="dxa"/>
            <w:tcBorders>
              <w:bottom w:val="single" w:sz="6" w:space="0" w:color="000000"/>
              <w:right w:val="single" w:sz="6" w:space="0" w:color="000000"/>
            </w:tcBorders>
            <w:tcMar>
              <w:top w:w="40" w:type="dxa"/>
              <w:left w:w="40" w:type="dxa"/>
              <w:bottom w:w="40" w:type="dxa"/>
              <w:right w:w="40" w:type="dxa"/>
            </w:tcMar>
          </w:tcPr>
          <w:p w14:paraId="5C3512A6"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entity has an internet connection that offers an adequate bandwidth:</w:t>
            </w:r>
          </w:p>
          <w:p w14:paraId="7B195872"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for the systems operations</w:t>
            </w:r>
          </w:p>
          <w:p w14:paraId="16630E12" w14:textId="5E8218DE"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 the personnel </w:t>
            </w:r>
            <w:r w:rsidR="00034D75">
              <w:rPr>
                <w:rFonts w:ascii="Arial" w:eastAsia="Arial" w:hAnsi="Arial" w:cs="Arial"/>
                <w:sz w:val="12"/>
                <w:szCs w:val="12"/>
              </w:rPr>
              <w:t>labour</w:t>
            </w:r>
          </w:p>
          <w:p w14:paraId="711F775E" w14:textId="6BF542F4"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 with minimum or </w:t>
            </w:r>
            <w:r w:rsidR="00034D75">
              <w:rPr>
                <w:rFonts w:ascii="Arial" w:eastAsia="Arial" w:hAnsi="Arial" w:cs="Arial"/>
                <w:sz w:val="12"/>
                <w:szCs w:val="12"/>
              </w:rPr>
              <w:t>no</w:t>
            </w:r>
            <w:r w:rsidRPr="00E619C8">
              <w:rPr>
                <w:rFonts w:ascii="Arial" w:eastAsia="Arial" w:hAnsi="Arial" w:cs="Arial"/>
                <w:sz w:val="12"/>
                <w:szCs w:val="12"/>
              </w:rPr>
              <w:t xml:space="preserve"> downtimes.</w:t>
            </w:r>
          </w:p>
        </w:tc>
        <w:tc>
          <w:tcPr>
            <w:tcW w:w="855" w:type="dxa"/>
            <w:tcBorders>
              <w:bottom w:val="single" w:sz="6" w:space="0" w:color="000000"/>
              <w:right w:val="single" w:sz="6" w:space="0" w:color="000000"/>
            </w:tcBorders>
            <w:tcMar>
              <w:top w:w="40" w:type="dxa"/>
              <w:left w:w="40" w:type="dxa"/>
              <w:bottom w:w="40" w:type="dxa"/>
              <w:right w:w="40" w:type="dxa"/>
            </w:tcMar>
          </w:tcPr>
          <w:p w14:paraId="5F333F24"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4C0A3ACB" w14:textId="6AACE2A0"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access to the internet; 2 = There is access</w:t>
            </w:r>
            <w:r w:rsidR="00034D75">
              <w:rPr>
                <w:rFonts w:ascii="Arial" w:eastAsia="Arial" w:hAnsi="Arial" w:cs="Arial"/>
                <w:sz w:val="12"/>
                <w:szCs w:val="12"/>
              </w:rPr>
              <w:t>,</w:t>
            </w:r>
            <w:r w:rsidRPr="00E619C8">
              <w:rPr>
                <w:rFonts w:ascii="Arial" w:eastAsia="Arial" w:hAnsi="Arial" w:cs="Arial"/>
                <w:sz w:val="12"/>
                <w:szCs w:val="12"/>
              </w:rPr>
              <w:t xml:space="preserve"> but there are limitations on the three items; 3 = There is access</w:t>
            </w:r>
            <w:r w:rsidR="00034D75">
              <w:rPr>
                <w:rFonts w:ascii="Arial" w:eastAsia="Arial" w:hAnsi="Arial" w:cs="Arial"/>
                <w:sz w:val="12"/>
                <w:szCs w:val="12"/>
              </w:rPr>
              <w:t>,</w:t>
            </w:r>
            <w:r w:rsidRPr="00E619C8">
              <w:rPr>
                <w:rFonts w:ascii="Arial" w:eastAsia="Arial" w:hAnsi="Arial" w:cs="Arial"/>
                <w:sz w:val="12"/>
                <w:szCs w:val="12"/>
              </w:rPr>
              <w:t xml:space="preserve"> but there are limitations on two items; 4 = There is access</w:t>
            </w:r>
            <w:r w:rsidR="00034D75">
              <w:rPr>
                <w:rFonts w:ascii="Arial" w:eastAsia="Arial" w:hAnsi="Arial" w:cs="Arial"/>
                <w:sz w:val="12"/>
                <w:szCs w:val="12"/>
              </w:rPr>
              <w:t>,</w:t>
            </w:r>
            <w:r w:rsidRPr="00E619C8">
              <w:rPr>
                <w:rFonts w:ascii="Arial" w:eastAsia="Arial" w:hAnsi="Arial" w:cs="Arial"/>
                <w:sz w:val="12"/>
                <w:szCs w:val="12"/>
              </w:rPr>
              <w:t xml:space="preserve"> but there are limitations on one item; 5 = The bandwidth is optimal for the entity´s activity.</w:t>
            </w:r>
          </w:p>
        </w:tc>
        <w:tc>
          <w:tcPr>
            <w:tcW w:w="900" w:type="dxa"/>
            <w:tcBorders>
              <w:bottom w:val="single" w:sz="6" w:space="0" w:color="000000"/>
              <w:right w:val="single" w:sz="6" w:space="0" w:color="000000"/>
            </w:tcBorders>
            <w:tcMar>
              <w:top w:w="40" w:type="dxa"/>
              <w:left w:w="40" w:type="dxa"/>
              <w:bottom w:w="40" w:type="dxa"/>
              <w:right w:w="40" w:type="dxa"/>
            </w:tcMar>
          </w:tcPr>
          <w:p w14:paraId="3F7E5B1B"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6D7A0115"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29CD98DE" w14:textId="77777777">
        <w:trPr>
          <w:trHeight w:val="117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BB6DB10"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2.1.2.3</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50FEB493"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6625B58"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Institutional website</w:t>
            </w:r>
          </w:p>
        </w:tc>
        <w:tc>
          <w:tcPr>
            <w:tcW w:w="1710" w:type="dxa"/>
            <w:tcBorders>
              <w:bottom w:val="single" w:sz="6" w:space="0" w:color="000000"/>
              <w:right w:val="single" w:sz="6" w:space="0" w:color="000000"/>
            </w:tcBorders>
            <w:tcMar>
              <w:top w:w="40" w:type="dxa"/>
              <w:left w:w="40" w:type="dxa"/>
              <w:bottom w:w="40" w:type="dxa"/>
              <w:right w:w="40" w:type="dxa"/>
            </w:tcMar>
          </w:tcPr>
          <w:p w14:paraId="1657270C"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institution has its own website and is capable of managing its content and services in real time.</w:t>
            </w:r>
          </w:p>
        </w:tc>
        <w:tc>
          <w:tcPr>
            <w:tcW w:w="855" w:type="dxa"/>
            <w:tcBorders>
              <w:bottom w:val="single" w:sz="6" w:space="0" w:color="000000"/>
              <w:right w:val="single" w:sz="6" w:space="0" w:color="000000"/>
            </w:tcBorders>
            <w:tcMar>
              <w:top w:w="40" w:type="dxa"/>
              <w:left w:w="40" w:type="dxa"/>
              <w:bottom w:w="40" w:type="dxa"/>
              <w:right w:w="40" w:type="dxa"/>
            </w:tcMar>
          </w:tcPr>
          <w:p w14:paraId="2881B64D"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133B71A1"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 institution does not have a website; 2 = Does have a website but depends on a third party for content management; 4 = Does have a website and manages its content internally but with limitations; 5 = Has total control internally and can update information in real time.</w:t>
            </w:r>
          </w:p>
        </w:tc>
        <w:tc>
          <w:tcPr>
            <w:tcW w:w="900" w:type="dxa"/>
            <w:tcBorders>
              <w:bottom w:val="single" w:sz="6" w:space="0" w:color="000000"/>
              <w:right w:val="single" w:sz="6" w:space="0" w:color="000000"/>
            </w:tcBorders>
            <w:tcMar>
              <w:top w:w="40" w:type="dxa"/>
              <w:left w:w="40" w:type="dxa"/>
              <w:bottom w:w="40" w:type="dxa"/>
              <w:right w:w="40" w:type="dxa"/>
            </w:tcMar>
          </w:tcPr>
          <w:p w14:paraId="6A82F62B"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3D2AB0CE"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6BB5E0D6" w14:textId="77777777">
        <w:trPr>
          <w:trHeight w:val="68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F6E41CE"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2.1.2.4</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53DF6EC6"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DA99432"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Information systems for infrastructure projects</w:t>
            </w:r>
          </w:p>
        </w:tc>
        <w:tc>
          <w:tcPr>
            <w:tcW w:w="1710" w:type="dxa"/>
            <w:tcBorders>
              <w:bottom w:val="single" w:sz="6" w:space="0" w:color="000000"/>
              <w:right w:val="single" w:sz="6" w:space="0" w:color="000000"/>
            </w:tcBorders>
            <w:tcMar>
              <w:top w:w="40" w:type="dxa"/>
              <w:left w:w="40" w:type="dxa"/>
              <w:bottom w:w="40" w:type="dxa"/>
              <w:right w:w="40" w:type="dxa"/>
            </w:tcMar>
          </w:tcPr>
          <w:p w14:paraId="2DA71C14"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institution has a functional digital system to record all information related to public infrastructure projects.</w:t>
            </w:r>
          </w:p>
        </w:tc>
        <w:tc>
          <w:tcPr>
            <w:tcW w:w="855" w:type="dxa"/>
            <w:tcBorders>
              <w:bottom w:val="single" w:sz="6" w:space="0" w:color="000000"/>
              <w:right w:val="single" w:sz="6" w:space="0" w:color="000000"/>
            </w:tcBorders>
            <w:tcMar>
              <w:top w:w="40" w:type="dxa"/>
              <w:left w:w="40" w:type="dxa"/>
              <w:bottom w:w="40" w:type="dxa"/>
              <w:right w:w="40" w:type="dxa"/>
            </w:tcMar>
          </w:tcPr>
          <w:p w14:paraId="7EED03E7"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65BBB08C"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 institution records are on paper; 2 = Some records are digital; 3 = Records are mainly digital on spreadsheets, like Excel or others; 5 = All the records are in information systems.</w:t>
            </w:r>
          </w:p>
        </w:tc>
        <w:tc>
          <w:tcPr>
            <w:tcW w:w="900" w:type="dxa"/>
            <w:tcBorders>
              <w:bottom w:val="single" w:sz="6" w:space="0" w:color="000000"/>
              <w:right w:val="single" w:sz="6" w:space="0" w:color="000000"/>
            </w:tcBorders>
            <w:tcMar>
              <w:top w:w="40" w:type="dxa"/>
              <w:left w:w="40" w:type="dxa"/>
              <w:bottom w:w="40" w:type="dxa"/>
              <w:right w:w="40" w:type="dxa"/>
            </w:tcMar>
          </w:tcPr>
          <w:p w14:paraId="6C70DFD2"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414769E2"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65DAD712" w14:textId="77777777">
        <w:trPr>
          <w:trHeight w:val="34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B7F5480"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2.1.2.5</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1ED9756A"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77A1EDB"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Use of information systems</w:t>
            </w:r>
          </w:p>
        </w:tc>
        <w:tc>
          <w:tcPr>
            <w:tcW w:w="1710" w:type="dxa"/>
            <w:tcBorders>
              <w:bottom w:val="single" w:sz="6" w:space="0" w:color="000000"/>
              <w:right w:val="single" w:sz="6" w:space="0" w:color="000000"/>
            </w:tcBorders>
            <w:tcMar>
              <w:top w:w="40" w:type="dxa"/>
              <w:left w:w="40" w:type="dxa"/>
              <w:bottom w:w="40" w:type="dxa"/>
              <w:right w:w="40" w:type="dxa"/>
            </w:tcMar>
          </w:tcPr>
          <w:p w14:paraId="42FE65A4"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Officers use available information systems for activities related to public infrastructure projects.</w:t>
            </w:r>
          </w:p>
        </w:tc>
        <w:tc>
          <w:tcPr>
            <w:tcW w:w="855" w:type="dxa"/>
            <w:tcBorders>
              <w:bottom w:val="single" w:sz="6" w:space="0" w:color="000000"/>
              <w:right w:val="single" w:sz="6" w:space="0" w:color="000000"/>
            </w:tcBorders>
            <w:tcMar>
              <w:top w:w="40" w:type="dxa"/>
              <w:left w:w="40" w:type="dxa"/>
              <w:bottom w:w="40" w:type="dxa"/>
              <w:right w:w="40" w:type="dxa"/>
            </w:tcMar>
          </w:tcPr>
          <w:p w14:paraId="348E1341"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498573D0"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Information systems are not used, or there are no systems; 3 = The systems are only partially used; 5 = They are fully used.</w:t>
            </w:r>
          </w:p>
        </w:tc>
        <w:tc>
          <w:tcPr>
            <w:tcW w:w="900" w:type="dxa"/>
            <w:tcBorders>
              <w:bottom w:val="single" w:sz="6" w:space="0" w:color="000000"/>
              <w:right w:val="single" w:sz="6" w:space="0" w:color="000000"/>
            </w:tcBorders>
            <w:tcMar>
              <w:top w:w="40" w:type="dxa"/>
              <w:left w:w="40" w:type="dxa"/>
              <w:bottom w:w="40" w:type="dxa"/>
              <w:right w:w="40" w:type="dxa"/>
            </w:tcMar>
          </w:tcPr>
          <w:p w14:paraId="1FB8CC2E"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0F7DBD7B"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10809F0A" w14:textId="77777777">
        <w:trPr>
          <w:trHeight w:val="1852"/>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779C102"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2.1.2.6</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34EE19AF"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2D5C0BA4"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Infrastructure open data publication</w:t>
            </w:r>
          </w:p>
        </w:tc>
        <w:tc>
          <w:tcPr>
            <w:tcW w:w="1710" w:type="dxa"/>
            <w:tcBorders>
              <w:bottom w:val="single" w:sz="6" w:space="0" w:color="000000"/>
              <w:right w:val="single" w:sz="6" w:space="0" w:color="000000"/>
            </w:tcBorders>
            <w:tcMar>
              <w:top w:w="40" w:type="dxa"/>
              <w:left w:w="40" w:type="dxa"/>
              <w:bottom w:w="40" w:type="dxa"/>
              <w:right w:w="40" w:type="dxa"/>
            </w:tcMar>
          </w:tcPr>
          <w:p w14:paraId="3F376DD7"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entity publishes data of all its infrastructure projects complying with the following conditions:</w:t>
            </w:r>
          </w:p>
          <w:p w14:paraId="4C7DB416"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structured</w:t>
            </w:r>
          </w:p>
          <w:p w14:paraId="0D7287D0"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updated</w:t>
            </w:r>
          </w:p>
          <w:p w14:paraId="7DD0E58A"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processable by computer</w:t>
            </w:r>
          </w:p>
          <w:p w14:paraId="5202DB10"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free of payment</w:t>
            </w:r>
          </w:p>
          <w:p w14:paraId="529ADF49"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with a license allowing their free use</w:t>
            </w:r>
          </w:p>
          <w:p w14:paraId="1A74D1A2"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using the IDS or OC4IDS standards</w:t>
            </w:r>
          </w:p>
          <w:p w14:paraId="0E9AECBA"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on all the entity’s projects.</w:t>
            </w:r>
          </w:p>
        </w:tc>
        <w:tc>
          <w:tcPr>
            <w:tcW w:w="855" w:type="dxa"/>
            <w:tcBorders>
              <w:bottom w:val="single" w:sz="6" w:space="0" w:color="000000"/>
              <w:right w:val="single" w:sz="6" w:space="0" w:color="000000"/>
            </w:tcBorders>
            <w:tcMar>
              <w:top w:w="40" w:type="dxa"/>
              <w:left w:w="40" w:type="dxa"/>
              <w:bottom w:w="40" w:type="dxa"/>
              <w:right w:w="40" w:type="dxa"/>
            </w:tcMar>
          </w:tcPr>
          <w:p w14:paraId="687849E0"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69B6F9F4" w14:textId="23AAEE1B"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0 = The entity does not publish infrastructure data; 1 = The entity publishes data but only complies with one condition; 2 = Publishes data and </w:t>
            </w:r>
            <w:r w:rsidR="00034D75">
              <w:rPr>
                <w:rFonts w:ascii="Arial" w:eastAsia="Arial" w:hAnsi="Arial" w:cs="Arial"/>
                <w:sz w:val="12"/>
                <w:szCs w:val="12"/>
              </w:rPr>
              <w:t>complies</w:t>
            </w:r>
            <w:r w:rsidRPr="00E619C8">
              <w:rPr>
                <w:rFonts w:ascii="Arial" w:eastAsia="Arial" w:hAnsi="Arial" w:cs="Arial"/>
                <w:sz w:val="12"/>
                <w:szCs w:val="12"/>
              </w:rPr>
              <w:t xml:space="preserve"> with two or three conditions; 3 = Publishes data and complies with four or five conditions; 4 = Publishes data and complies with six conditions; 5 = Publishes infrastructure data complying with all seven conditions.</w:t>
            </w:r>
          </w:p>
        </w:tc>
        <w:tc>
          <w:tcPr>
            <w:tcW w:w="900" w:type="dxa"/>
            <w:tcBorders>
              <w:bottom w:val="single" w:sz="6" w:space="0" w:color="000000"/>
              <w:right w:val="single" w:sz="6" w:space="0" w:color="000000"/>
            </w:tcBorders>
            <w:tcMar>
              <w:top w:w="40" w:type="dxa"/>
              <w:left w:w="40" w:type="dxa"/>
              <w:bottom w:w="40" w:type="dxa"/>
              <w:right w:w="40" w:type="dxa"/>
            </w:tcMar>
          </w:tcPr>
          <w:p w14:paraId="2B9FEED7"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319A88D8"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2E98EB9A" w14:textId="77777777">
        <w:trPr>
          <w:trHeight w:val="55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161EA92"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2.1.2.7</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1470B5C3"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2F9C1B2"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Visualisations based on infrastructure projects data</w:t>
            </w:r>
          </w:p>
        </w:tc>
        <w:tc>
          <w:tcPr>
            <w:tcW w:w="1710" w:type="dxa"/>
            <w:tcBorders>
              <w:bottom w:val="single" w:sz="6" w:space="0" w:color="000000"/>
              <w:right w:val="single" w:sz="6" w:space="0" w:color="000000"/>
            </w:tcBorders>
            <w:tcMar>
              <w:top w:w="40" w:type="dxa"/>
              <w:left w:w="40" w:type="dxa"/>
              <w:bottom w:w="40" w:type="dxa"/>
              <w:right w:w="40" w:type="dxa"/>
            </w:tcMar>
          </w:tcPr>
          <w:p w14:paraId="0288AAED"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entity uses visualisations that facilitate the presentation and interpretation of information referring to public infrastructure projects.</w:t>
            </w:r>
          </w:p>
        </w:tc>
        <w:tc>
          <w:tcPr>
            <w:tcW w:w="855" w:type="dxa"/>
            <w:tcBorders>
              <w:bottom w:val="single" w:sz="6" w:space="0" w:color="000000"/>
              <w:right w:val="single" w:sz="6" w:space="0" w:color="000000"/>
            </w:tcBorders>
            <w:tcMar>
              <w:top w:w="40" w:type="dxa"/>
              <w:left w:w="40" w:type="dxa"/>
              <w:bottom w:w="40" w:type="dxa"/>
              <w:right w:w="40" w:type="dxa"/>
            </w:tcMar>
          </w:tcPr>
          <w:p w14:paraId="5011F0BB"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5B4D1D56"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 entity does not publish visualisations on this subject; 3 = Publishes but not regularly; 5 = Publishes visualisations regularly on its different projects (it can be on the web or other media such as print).</w:t>
            </w:r>
          </w:p>
        </w:tc>
        <w:tc>
          <w:tcPr>
            <w:tcW w:w="900" w:type="dxa"/>
            <w:tcBorders>
              <w:bottom w:val="single" w:sz="6" w:space="0" w:color="000000"/>
              <w:right w:val="single" w:sz="6" w:space="0" w:color="000000"/>
            </w:tcBorders>
            <w:tcMar>
              <w:top w:w="40" w:type="dxa"/>
              <w:left w:w="40" w:type="dxa"/>
              <w:bottom w:w="40" w:type="dxa"/>
              <w:right w:w="40" w:type="dxa"/>
            </w:tcMar>
          </w:tcPr>
          <w:p w14:paraId="386B5033"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07F073D8"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7A3FD537" w14:textId="77777777">
        <w:trPr>
          <w:trHeight w:val="297"/>
        </w:trPr>
        <w:tc>
          <w:tcPr>
            <w:tcW w:w="690" w:type="dxa"/>
            <w:tcBorders>
              <w:top w:val="nil"/>
              <w:left w:val="single" w:sz="8" w:space="0" w:color="000000"/>
              <w:bottom w:val="single" w:sz="8" w:space="0" w:color="000000"/>
              <w:right w:val="single" w:sz="8" w:space="0" w:color="000000"/>
            </w:tcBorders>
            <w:shd w:val="clear" w:color="auto" w:fill="A6A6A6"/>
            <w:tcMar>
              <w:top w:w="100" w:type="dxa"/>
              <w:left w:w="80" w:type="dxa"/>
              <w:bottom w:w="100" w:type="dxa"/>
              <w:right w:w="80" w:type="dxa"/>
            </w:tcMar>
          </w:tcPr>
          <w:p w14:paraId="3B934D62"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2.2</w:t>
            </w:r>
          </w:p>
        </w:tc>
        <w:tc>
          <w:tcPr>
            <w:tcW w:w="855"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1D0C8BA9"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Variable</w:t>
            </w:r>
          </w:p>
        </w:tc>
        <w:tc>
          <w:tcPr>
            <w:tcW w:w="114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05568AD2"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Institutional processes</w:t>
            </w:r>
          </w:p>
        </w:tc>
        <w:tc>
          <w:tcPr>
            <w:tcW w:w="171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64184525"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855"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122198C0" w14:textId="77777777" w:rsidR="002033A5" w:rsidRPr="00E619C8" w:rsidRDefault="002033A5">
            <w:pPr>
              <w:pBdr>
                <w:top w:val="nil"/>
                <w:left w:val="nil"/>
                <w:bottom w:val="nil"/>
                <w:right w:val="nil"/>
                <w:between w:val="nil"/>
              </w:pBdr>
              <w:spacing w:after="160" w:line="276" w:lineRule="auto"/>
              <w:rPr>
                <w:rFonts w:ascii="Arial" w:eastAsia="Arial" w:hAnsi="Arial" w:cs="Arial"/>
                <w:sz w:val="12"/>
                <w:szCs w:val="12"/>
              </w:rPr>
            </w:pPr>
          </w:p>
        </w:tc>
        <w:tc>
          <w:tcPr>
            <w:tcW w:w="195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2DEDBE57"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90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14ABD91D"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0.60</w:t>
            </w:r>
          </w:p>
        </w:tc>
        <w:tc>
          <w:tcPr>
            <w:tcW w:w="93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1FB4E848" w14:textId="77777777" w:rsidR="002033A5" w:rsidRPr="00E619C8" w:rsidRDefault="002033A5">
            <w:pPr>
              <w:spacing w:after="160" w:line="300" w:lineRule="auto"/>
              <w:jc w:val="both"/>
              <w:rPr>
                <w:rFonts w:ascii="Arial" w:eastAsia="Arial" w:hAnsi="Arial" w:cs="Arial"/>
                <w:sz w:val="12"/>
                <w:szCs w:val="12"/>
              </w:rPr>
            </w:pPr>
          </w:p>
        </w:tc>
      </w:tr>
      <w:tr w:rsidR="002033A5" w:rsidRPr="00E619C8" w14:paraId="23BAE7D2" w14:textId="77777777">
        <w:trPr>
          <w:trHeight w:val="450"/>
        </w:trPr>
        <w:tc>
          <w:tcPr>
            <w:tcW w:w="690" w:type="dxa"/>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7DE38E9F"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2.2.1</w:t>
            </w:r>
          </w:p>
        </w:tc>
        <w:tc>
          <w:tcPr>
            <w:tcW w:w="855"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1DE35C54"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Sub-variable</w:t>
            </w:r>
          </w:p>
        </w:tc>
        <w:tc>
          <w:tcPr>
            <w:tcW w:w="1140"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3659D204"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Procedures to disclose information</w:t>
            </w:r>
          </w:p>
        </w:tc>
        <w:tc>
          <w:tcPr>
            <w:tcW w:w="171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2EDAB294"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Evaluates institutional procedures to guarantee transparency of data and information related to public infrastructure.</w:t>
            </w:r>
          </w:p>
        </w:tc>
        <w:tc>
          <w:tcPr>
            <w:tcW w:w="855"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1701AA6A" w14:textId="77777777" w:rsidR="002033A5" w:rsidRPr="00E619C8" w:rsidRDefault="002033A5">
            <w:pPr>
              <w:pBdr>
                <w:top w:val="nil"/>
                <w:left w:val="nil"/>
                <w:bottom w:val="nil"/>
                <w:right w:val="nil"/>
                <w:between w:val="nil"/>
              </w:pBdr>
              <w:spacing w:after="160" w:line="276" w:lineRule="auto"/>
              <w:rPr>
                <w:rFonts w:ascii="Arial" w:eastAsia="Arial" w:hAnsi="Arial" w:cs="Arial"/>
                <w:sz w:val="12"/>
                <w:szCs w:val="12"/>
              </w:rPr>
            </w:pPr>
          </w:p>
        </w:tc>
        <w:tc>
          <w:tcPr>
            <w:tcW w:w="195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35F36566"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90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585B912"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0.35</w:t>
            </w:r>
          </w:p>
        </w:tc>
        <w:tc>
          <w:tcPr>
            <w:tcW w:w="930"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0619B82A" w14:textId="77777777" w:rsidR="002033A5" w:rsidRPr="00E619C8" w:rsidRDefault="002033A5">
            <w:pPr>
              <w:spacing w:after="160" w:line="300" w:lineRule="auto"/>
              <w:jc w:val="both"/>
              <w:rPr>
                <w:rFonts w:ascii="Arial" w:eastAsia="Arial" w:hAnsi="Arial" w:cs="Arial"/>
                <w:sz w:val="12"/>
                <w:szCs w:val="12"/>
              </w:rPr>
            </w:pPr>
          </w:p>
        </w:tc>
      </w:tr>
      <w:tr w:rsidR="002033A5" w:rsidRPr="00E619C8" w14:paraId="22AEEADE" w14:textId="77777777">
        <w:trPr>
          <w:trHeight w:val="69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45C1E7B"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2.2.1.1</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6D0A418D"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D81BB81"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Procedure for the publication of information</w:t>
            </w:r>
          </w:p>
        </w:tc>
        <w:tc>
          <w:tcPr>
            <w:tcW w:w="1710" w:type="dxa"/>
            <w:tcBorders>
              <w:bottom w:val="single" w:sz="6" w:space="0" w:color="000000"/>
              <w:right w:val="single" w:sz="6" w:space="0" w:color="000000"/>
            </w:tcBorders>
            <w:tcMar>
              <w:top w:w="40" w:type="dxa"/>
              <w:left w:w="40" w:type="dxa"/>
              <w:bottom w:w="40" w:type="dxa"/>
              <w:right w:w="40" w:type="dxa"/>
            </w:tcMar>
          </w:tcPr>
          <w:p w14:paraId="35031250" w14:textId="76AD028C"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There is a documented and </w:t>
            </w:r>
            <w:r w:rsidR="00034D75">
              <w:rPr>
                <w:rFonts w:ascii="Arial" w:eastAsia="Arial" w:hAnsi="Arial" w:cs="Arial"/>
                <w:sz w:val="12"/>
                <w:szCs w:val="12"/>
              </w:rPr>
              <w:t>formalised institutional procedure for the proactive disclosure of information on</w:t>
            </w:r>
            <w:r w:rsidRPr="00E619C8">
              <w:rPr>
                <w:rFonts w:ascii="Arial" w:eastAsia="Arial" w:hAnsi="Arial" w:cs="Arial"/>
                <w:sz w:val="12"/>
                <w:szCs w:val="12"/>
              </w:rPr>
              <w:t xml:space="preserve"> public infrastructure projects.</w:t>
            </w:r>
          </w:p>
        </w:tc>
        <w:tc>
          <w:tcPr>
            <w:tcW w:w="855" w:type="dxa"/>
            <w:tcBorders>
              <w:bottom w:val="single" w:sz="6" w:space="0" w:color="000000"/>
              <w:right w:val="single" w:sz="6" w:space="0" w:color="000000"/>
            </w:tcBorders>
            <w:tcMar>
              <w:top w:w="40" w:type="dxa"/>
              <w:left w:w="40" w:type="dxa"/>
              <w:bottom w:w="40" w:type="dxa"/>
              <w:right w:w="40" w:type="dxa"/>
            </w:tcMar>
          </w:tcPr>
          <w:p w14:paraId="51E267B8"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75B1E3D1"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procedure, or the officer does not know if any exists; 2 = There is a procedure, but it does not cover the projects` cycle (e.g. only covers procurement) and is not formalized 3 = There is a procedure but either covers the project's life cycle or it is formalized; 5 = The procedure covers the project's life cycle and is formalized.</w:t>
            </w:r>
          </w:p>
        </w:tc>
        <w:tc>
          <w:tcPr>
            <w:tcW w:w="900" w:type="dxa"/>
            <w:tcBorders>
              <w:bottom w:val="single" w:sz="6" w:space="0" w:color="000000"/>
              <w:right w:val="single" w:sz="6" w:space="0" w:color="000000"/>
            </w:tcBorders>
            <w:tcMar>
              <w:top w:w="40" w:type="dxa"/>
              <w:left w:w="40" w:type="dxa"/>
              <w:bottom w:w="40" w:type="dxa"/>
              <w:right w:w="40" w:type="dxa"/>
            </w:tcMar>
          </w:tcPr>
          <w:p w14:paraId="447DD14C"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29D31A91"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68500792" w14:textId="77777777">
        <w:trPr>
          <w:trHeight w:val="85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B751759"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2.2.1.2</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460D7CDC"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E7BE15C"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Responsibilities for disclosure</w:t>
            </w:r>
          </w:p>
        </w:tc>
        <w:tc>
          <w:tcPr>
            <w:tcW w:w="1710" w:type="dxa"/>
            <w:tcBorders>
              <w:bottom w:val="single" w:sz="6" w:space="0" w:color="000000"/>
              <w:right w:val="single" w:sz="6" w:space="0" w:color="000000"/>
            </w:tcBorders>
            <w:tcMar>
              <w:top w:w="40" w:type="dxa"/>
              <w:left w:w="40" w:type="dxa"/>
              <w:bottom w:w="40" w:type="dxa"/>
              <w:right w:w="40" w:type="dxa"/>
            </w:tcMar>
          </w:tcPr>
          <w:p w14:paraId="41814D4E"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procedure for proactive disclosure refers to named officers (or roles) who are responsible for the various stages of the proactive disclosure of infrastructure projects.</w:t>
            </w:r>
          </w:p>
        </w:tc>
        <w:tc>
          <w:tcPr>
            <w:tcW w:w="855" w:type="dxa"/>
            <w:tcBorders>
              <w:bottom w:val="single" w:sz="6" w:space="0" w:color="000000"/>
              <w:right w:val="single" w:sz="6" w:space="0" w:color="000000"/>
            </w:tcBorders>
            <w:tcMar>
              <w:top w:w="40" w:type="dxa"/>
              <w:left w:w="40" w:type="dxa"/>
              <w:bottom w:w="40" w:type="dxa"/>
              <w:right w:w="40" w:type="dxa"/>
            </w:tcMar>
          </w:tcPr>
          <w:p w14:paraId="187F7CBC"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6DE0F224" w14:textId="7816CD31"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procedure, or the procedure does not name anybody; 3 = The procedure names only some people/roles; 5 = The procedure names all people/roles per stage</w:t>
            </w:r>
            <w:r w:rsidR="00034D75">
              <w:rPr>
                <w:rFonts w:ascii="Arial" w:eastAsia="Arial" w:hAnsi="Arial" w:cs="Arial"/>
                <w:sz w:val="12"/>
                <w:szCs w:val="12"/>
              </w:rPr>
              <w:t>,</w:t>
            </w:r>
            <w:r w:rsidRPr="00E619C8">
              <w:rPr>
                <w:rFonts w:ascii="Arial" w:eastAsia="Arial" w:hAnsi="Arial" w:cs="Arial"/>
                <w:sz w:val="12"/>
                <w:szCs w:val="12"/>
              </w:rPr>
              <w:t xml:space="preserve"> so there is always someone accountable.</w:t>
            </w:r>
          </w:p>
        </w:tc>
        <w:tc>
          <w:tcPr>
            <w:tcW w:w="900" w:type="dxa"/>
            <w:tcBorders>
              <w:bottom w:val="single" w:sz="6" w:space="0" w:color="000000"/>
              <w:right w:val="single" w:sz="6" w:space="0" w:color="000000"/>
            </w:tcBorders>
            <w:tcMar>
              <w:top w:w="40" w:type="dxa"/>
              <w:left w:w="40" w:type="dxa"/>
              <w:bottom w:w="40" w:type="dxa"/>
              <w:right w:w="40" w:type="dxa"/>
            </w:tcMar>
          </w:tcPr>
          <w:p w14:paraId="69B6319B"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0D9A021F"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3A48B020" w14:textId="77777777">
        <w:trPr>
          <w:trHeight w:val="148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13F619A"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2.2.1.3</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57902A8F"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0BD9314"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Information officer profile</w:t>
            </w:r>
          </w:p>
        </w:tc>
        <w:tc>
          <w:tcPr>
            <w:tcW w:w="1710" w:type="dxa"/>
            <w:tcBorders>
              <w:bottom w:val="single" w:sz="6" w:space="0" w:color="000000"/>
              <w:right w:val="single" w:sz="6" w:space="0" w:color="000000"/>
            </w:tcBorders>
            <w:tcMar>
              <w:top w:w="40" w:type="dxa"/>
              <w:left w:w="40" w:type="dxa"/>
              <w:bottom w:w="40" w:type="dxa"/>
              <w:right w:w="40" w:type="dxa"/>
            </w:tcMar>
          </w:tcPr>
          <w:p w14:paraId="13C04C05" w14:textId="77346823"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There is a documented and </w:t>
            </w:r>
            <w:r w:rsidR="00034D75">
              <w:rPr>
                <w:rFonts w:ascii="Arial" w:eastAsia="Arial" w:hAnsi="Arial" w:cs="Arial"/>
                <w:sz w:val="12"/>
                <w:szCs w:val="12"/>
              </w:rPr>
              <w:t>formalised</w:t>
            </w:r>
            <w:r w:rsidRPr="00E619C8">
              <w:rPr>
                <w:rFonts w:ascii="Arial" w:eastAsia="Arial" w:hAnsi="Arial" w:cs="Arial"/>
                <w:sz w:val="12"/>
                <w:szCs w:val="12"/>
              </w:rPr>
              <w:t xml:space="preserve"> professional profile in the institution for an “information officer”, “information unit”, or similar, that describes the professional requirements and main tasks for this person or unit.</w:t>
            </w:r>
          </w:p>
        </w:tc>
        <w:tc>
          <w:tcPr>
            <w:tcW w:w="855" w:type="dxa"/>
            <w:tcBorders>
              <w:bottom w:val="single" w:sz="6" w:space="0" w:color="000000"/>
              <w:right w:val="single" w:sz="6" w:space="0" w:color="000000"/>
            </w:tcBorders>
            <w:tcMar>
              <w:top w:w="40" w:type="dxa"/>
              <w:left w:w="40" w:type="dxa"/>
              <w:bottom w:w="40" w:type="dxa"/>
              <w:right w:w="40" w:type="dxa"/>
            </w:tcMar>
          </w:tcPr>
          <w:p w14:paraId="533128EB"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1FFB95B1" w14:textId="31135F36"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0 = There is no documented profile or the officer does not know if there is any; 3 = There is a profile, but </w:t>
            </w:r>
            <w:r w:rsidR="00034D75">
              <w:rPr>
                <w:rFonts w:ascii="Arial" w:eastAsia="Arial" w:hAnsi="Arial" w:cs="Arial"/>
                <w:sz w:val="12"/>
                <w:szCs w:val="12"/>
              </w:rPr>
              <w:t xml:space="preserve">it </w:t>
            </w:r>
            <w:r w:rsidRPr="00E619C8">
              <w:rPr>
                <w:rFonts w:ascii="Arial" w:eastAsia="Arial" w:hAnsi="Arial" w:cs="Arial"/>
                <w:sz w:val="12"/>
                <w:szCs w:val="12"/>
              </w:rPr>
              <w:t xml:space="preserve">is not </w:t>
            </w:r>
            <w:r w:rsidR="00034D75">
              <w:rPr>
                <w:rFonts w:ascii="Arial" w:eastAsia="Arial" w:hAnsi="Arial" w:cs="Arial"/>
                <w:sz w:val="12"/>
                <w:szCs w:val="12"/>
              </w:rPr>
              <w:t>formalised</w:t>
            </w:r>
            <w:r w:rsidRPr="00E619C8">
              <w:rPr>
                <w:rFonts w:ascii="Arial" w:eastAsia="Arial" w:hAnsi="Arial" w:cs="Arial"/>
                <w:sz w:val="12"/>
                <w:szCs w:val="12"/>
              </w:rPr>
              <w:t xml:space="preserve"> or in practice includes unrelated responsibilities (other activities besides the ones related to public information access); 5 = There is a formal profile</w:t>
            </w:r>
            <w:r w:rsidR="00034D75">
              <w:rPr>
                <w:rFonts w:ascii="Arial" w:eastAsia="Arial" w:hAnsi="Arial" w:cs="Arial"/>
                <w:sz w:val="12"/>
                <w:szCs w:val="12"/>
              </w:rPr>
              <w:t>,</w:t>
            </w:r>
            <w:r w:rsidRPr="00E619C8">
              <w:rPr>
                <w:rFonts w:ascii="Arial" w:eastAsia="Arial" w:hAnsi="Arial" w:cs="Arial"/>
                <w:sz w:val="12"/>
                <w:szCs w:val="12"/>
              </w:rPr>
              <w:t xml:space="preserve"> and all performed responsibilities in practice are related to it.</w:t>
            </w:r>
          </w:p>
        </w:tc>
        <w:tc>
          <w:tcPr>
            <w:tcW w:w="900" w:type="dxa"/>
            <w:tcBorders>
              <w:bottom w:val="single" w:sz="6" w:space="0" w:color="000000"/>
              <w:right w:val="single" w:sz="6" w:space="0" w:color="000000"/>
            </w:tcBorders>
            <w:tcMar>
              <w:top w:w="40" w:type="dxa"/>
              <w:left w:w="40" w:type="dxa"/>
              <w:bottom w:w="40" w:type="dxa"/>
              <w:right w:w="40" w:type="dxa"/>
            </w:tcMar>
          </w:tcPr>
          <w:p w14:paraId="11AA645F"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50D94569"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6350EFB9" w14:textId="77777777">
        <w:trPr>
          <w:trHeight w:val="874"/>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1999372"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2.2.1.4</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4BBA2B65"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01F9743"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Information officer</w:t>
            </w:r>
          </w:p>
        </w:tc>
        <w:tc>
          <w:tcPr>
            <w:tcW w:w="1710" w:type="dxa"/>
            <w:tcBorders>
              <w:bottom w:val="single" w:sz="6" w:space="0" w:color="000000"/>
              <w:right w:val="single" w:sz="6" w:space="0" w:color="000000"/>
            </w:tcBorders>
            <w:tcMar>
              <w:top w:w="40" w:type="dxa"/>
              <w:left w:w="40" w:type="dxa"/>
              <w:bottom w:w="40" w:type="dxa"/>
              <w:right w:w="40" w:type="dxa"/>
            </w:tcMar>
          </w:tcPr>
          <w:p w14:paraId="16FAA974" w14:textId="092974B1"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There is a person nominated for the position of information officer</w:t>
            </w:r>
            <w:r w:rsidR="00034D75">
              <w:rPr>
                <w:rFonts w:ascii="Arial" w:eastAsia="Arial" w:hAnsi="Arial" w:cs="Arial"/>
                <w:sz w:val="12"/>
                <w:szCs w:val="12"/>
              </w:rPr>
              <w:t>,</w:t>
            </w:r>
            <w:r w:rsidRPr="00E619C8">
              <w:rPr>
                <w:rFonts w:ascii="Arial" w:eastAsia="Arial" w:hAnsi="Arial" w:cs="Arial"/>
                <w:sz w:val="12"/>
                <w:szCs w:val="12"/>
              </w:rPr>
              <w:t xml:space="preserve"> and the person fully complies with the job profile.</w:t>
            </w:r>
          </w:p>
        </w:tc>
        <w:tc>
          <w:tcPr>
            <w:tcW w:w="855" w:type="dxa"/>
            <w:tcBorders>
              <w:bottom w:val="single" w:sz="6" w:space="0" w:color="000000"/>
              <w:right w:val="single" w:sz="6" w:space="0" w:color="000000"/>
            </w:tcBorders>
            <w:tcMar>
              <w:top w:w="40" w:type="dxa"/>
              <w:left w:w="40" w:type="dxa"/>
              <w:bottom w:w="40" w:type="dxa"/>
              <w:right w:w="40" w:type="dxa"/>
            </w:tcMar>
          </w:tcPr>
          <w:p w14:paraId="29437EE4"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1D67A9B3"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person assigned, or there is no profile; 3 = There is an assigned person but does not comply with the profile requirements; 5 = The assigned person complies with all requirements.</w:t>
            </w:r>
          </w:p>
        </w:tc>
        <w:tc>
          <w:tcPr>
            <w:tcW w:w="900" w:type="dxa"/>
            <w:tcBorders>
              <w:bottom w:val="single" w:sz="6" w:space="0" w:color="000000"/>
              <w:right w:val="single" w:sz="6" w:space="0" w:color="000000"/>
            </w:tcBorders>
            <w:tcMar>
              <w:top w:w="40" w:type="dxa"/>
              <w:left w:w="40" w:type="dxa"/>
              <w:bottom w:w="40" w:type="dxa"/>
              <w:right w:w="40" w:type="dxa"/>
            </w:tcMar>
          </w:tcPr>
          <w:p w14:paraId="2CE60CB3"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1081EC3F"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6FAA20D0" w14:textId="77777777">
        <w:trPr>
          <w:trHeight w:val="1449"/>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30966F2"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2.2.1.5</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0ABF2A7C"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2CD7EFB"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Procedure for information requests</w:t>
            </w:r>
          </w:p>
        </w:tc>
        <w:tc>
          <w:tcPr>
            <w:tcW w:w="1710" w:type="dxa"/>
            <w:tcBorders>
              <w:bottom w:val="single" w:sz="6" w:space="0" w:color="000000"/>
              <w:right w:val="single" w:sz="6" w:space="0" w:color="000000"/>
            </w:tcBorders>
            <w:tcMar>
              <w:top w:w="40" w:type="dxa"/>
              <w:left w:w="40" w:type="dxa"/>
              <w:bottom w:w="40" w:type="dxa"/>
              <w:right w:w="40" w:type="dxa"/>
            </w:tcMar>
          </w:tcPr>
          <w:p w14:paraId="008D5C46" w14:textId="313EF598"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There is a documented and </w:t>
            </w:r>
            <w:r w:rsidR="00034D75">
              <w:rPr>
                <w:rFonts w:ascii="Arial" w:eastAsia="Arial" w:hAnsi="Arial" w:cs="Arial"/>
                <w:sz w:val="12"/>
                <w:szCs w:val="12"/>
              </w:rPr>
              <w:t xml:space="preserve">formalised institutional procedure to attend to </w:t>
            </w:r>
            <w:r w:rsidRPr="00E619C8">
              <w:rPr>
                <w:rFonts w:ascii="Arial" w:eastAsia="Arial" w:hAnsi="Arial" w:cs="Arial"/>
                <w:sz w:val="12"/>
                <w:szCs w:val="12"/>
              </w:rPr>
              <w:t>and track information requests on infrastructure projects that come from citizens or any other actor.</w:t>
            </w:r>
          </w:p>
        </w:tc>
        <w:tc>
          <w:tcPr>
            <w:tcW w:w="855" w:type="dxa"/>
            <w:tcBorders>
              <w:bottom w:val="single" w:sz="6" w:space="0" w:color="000000"/>
              <w:right w:val="single" w:sz="6" w:space="0" w:color="000000"/>
            </w:tcBorders>
            <w:tcMar>
              <w:top w:w="40" w:type="dxa"/>
              <w:left w:w="40" w:type="dxa"/>
              <w:bottom w:w="40" w:type="dxa"/>
              <w:right w:w="40" w:type="dxa"/>
            </w:tcMar>
          </w:tcPr>
          <w:p w14:paraId="4A198AEC"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50F360FE" w14:textId="6FA850DF"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0 = There is no procedure or tracking mechanism on information requests, or the officer does not know if one exists; 3 = There is a </w:t>
            </w:r>
            <w:r w:rsidR="00034D75">
              <w:rPr>
                <w:rFonts w:ascii="Arial" w:eastAsia="Arial" w:hAnsi="Arial" w:cs="Arial"/>
                <w:sz w:val="12"/>
                <w:szCs w:val="12"/>
              </w:rPr>
              <w:t>tracking</w:t>
            </w:r>
            <w:r w:rsidRPr="00E619C8">
              <w:rPr>
                <w:rFonts w:ascii="Arial" w:eastAsia="Arial" w:hAnsi="Arial" w:cs="Arial"/>
                <w:sz w:val="12"/>
                <w:szCs w:val="12"/>
              </w:rPr>
              <w:t xml:space="preserve"> mechanism but presents weaknesses that might result in a lack of response; 5 = There is an internal tracking mechanism on which no information request can be lost or unanswered.</w:t>
            </w:r>
          </w:p>
        </w:tc>
        <w:tc>
          <w:tcPr>
            <w:tcW w:w="900" w:type="dxa"/>
            <w:tcBorders>
              <w:bottom w:val="single" w:sz="6" w:space="0" w:color="000000"/>
              <w:right w:val="single" w:sz="6" w:space="0" w:color="000000"/>
            </w:tcBorders>
            <w:tcMar>
              <w:top w:w="40" w:type="dxa"/>
              <w:left w:w="40" w:type="dxa"/>
              <w:bottom w:w="40" w:type="dxa"/>
              <w:right w:w="40" w:type="dxa"/>
            </w:tcMar>
          </w:tcPr>
          <w:p w14:paraId="23DCCCBD"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68A727AE"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56A7FBED" w14:textId="77777777">
        <w:trPr>
          <w:trHeight w:val="315"/>
        </w:trPr>
        <w:tc>
          <w:tcPr>
            <w:tcW w:w="690" w:type="dxa"/>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6CB9CD43"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2.2.2</w:t>
            </w:r>
          </w:p>
        </w:tc>
        <w:tc>
          <w:tcPr>
            <w:tcW w:w="855"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2F046D5D"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Sub-variable</w:t>
            </w:r>
          </w:p>
        </w:tc>
        <w:tc>
          <w:tcPr>
            <w:tcW w:w="1140"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7E46386" w14:textId="6970047F"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 xml:space="preserve">Enablers and barriers to </w:t>
            </w:r>
            <w:r w:rsidR="00034D75">
              <w:rPr>
                <w:rFonts w:ascii="Arial" w:eastAsia="Arial" w:hAnsi="Arial" w:cs="Arial"/>
                <w:sz w:val="12"/>
                <w:szCs w:val="12"/>
              </w:rPr>
              <w:t>disclosing</w:t>
            </w:r>
            <w:r w:rsidRPr="00E619C8">
              <w:rPr>
                <w:rFonts w:ascii="Arial" w:eastAsia="Arial" w:hAnsi="Arial" w:cs="Arial"/>
                <w:sz w:val="12"/>
                <w:szCs w:val="12"/>
              </w:rPr>
              <w:t xml:space="preserve"> information</w:t>
            </w:r>
          </w:p>
        </w:tc>
        <w:tc>
          <w:tcPr>
            <w:tcW w:w="1710" w:type="dxa"/>
            <w:tcBorders>
              <w:bottom w:val="single" w:sz="6" w:space="0" w:color="000000"/>
              <w:right w:val="single" w:sz="6" w:space="0" w:color="000000"/>
            </w:tcBorders>
            <w:shd w:val="clear" w:color="auto" w:fill="D9D9D9"/>
            <w:tcMar>
              <w:top w:w="40" w:type="dxa"/>
              <w:left w:w="40" w:type="dxa"/>
              <w:bottom w:w="40" w:type="dxa"/>
              <w:right w:w="40" w:type="dxa"/>
            </w:tcMar>
          </w:tcPr>
          <w:p w14:paraId="6FCAE43E"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Evaluates conditions at the entity facilitating or limiting the public information publication.</w:t>
            </w:r>
          </w:p>
        </w:tc>
        <w:tc>
          <w:tcPr>
            <w:tcW w:w="855" w:type="dxa"/>
            <w:tcBorders>
              <w:bottom w:val="single" w:sz="6" w:space="0" w:color="000000"/>
              <w:right w:val="single" w:sz="6" w:space="0" w:color="000000"/>
            </w:tcBorders>
            <w:shd w:val="clear" w:color="auto" w:fill="D9D9D9"/>
            <w:tcMar>
              <w:top w:w="40" w:type="dxa"/>
              <w:left w:w="40" w:type="dxa"/>
              <w:bottom w:w="40" w:type="dxa"/>
              <w:right w:w="40" w:type="dxa"/>
            </w:tcMar>
          </w:tcPr>
          <w:p w14:paraId="55A31330" w14:textId="77777777" w:rsidR="002033A5" w:rsidRPr="00E619C8" w:rsidRDefault="002033A5">
            <w:pPr>
              <w:pBdr>
                <w:top w:val="nil"/>
                <w:left w:val="nil"/>
                <w:bottom w:val="nil"/>
                <w:right w:val="nil"/>
                <w:between w:val="nil"/>
              </w:pBdr>
              <w:spacing w:after="160" w:line="276" w:lineRule="auto"/>
              <w:rPr>
                <w:rFonts w:ascii="Arial" w:eastAsia="Arial" w:hAnsi="Arial" w:cs="Arial"/>
                <w:sz w:val="12"/>
                <w:szCs w:val="12"/>
              </w:rPr>
            </w:pPr>
          </w:p>
        </w:tc>
        <w:tc>
          <w:tcPr>
            <w:tcW w:w="1950" w:type="dxa"/>
            <w:tcBorders>
              <w:bottom w:val="single" w:sz="6" w:space="0" w:color="000000"/>
              <w:right w:val="single" w:sz="6" w:space="0" w:color="000000"/>
            </w:tcBorders>
            <w:shd w:val="clear" w:color="auto" w:fill="D9D9D9"/>
            <w:tcMar>
              <w:top w:w="40" w:type="dxa"/>
              <w:left w:w="40" w:type="dxa"/>
              <w:bottom w:w="40" w:type="dxa"/>
              <w:right w:w="40" w:type="dxa"/>
            </w:tcMar>
          </w:tcPr>
          <w:p w14:paraId="6C23EB3B"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900" w:type="dxa"/>
            <w:tcBorders>
              <w:bottom w:val="single" w:sz="6" w:space="0" w:color="000000"/>
              <w:right w:val="single" w:sz="6" w:space="0" w:color="000000"/>
            </w:tcBorders>
            <w:shd w:val="clear" w:color="auto" w:fill="D9D9D9"/>
            <w:tcMar>
              <w:top w:w="40" w:type="dxa"/>
              <w:left w:w="40" w:type="dxa"/>
              <w:bottom w:w="40" w:type="dxa"/>
              <w:right w:w="40" w:type="dxa"/>
            </w:tcMar>
          </w:tcPr>
          <w:p w14:paraId="39042B9F"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0.35</w:t>
            </w:r>
          </w:p>
        </w:tc>
        <w:tc>
          <w:tcPr>
            <w:tcW w:w="930"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700A4FE5" w14:textId="77777777" w:rsidR="002033A5" w:rsidRPr="00E619C8" w:rsidRDefault="002033A5">
            <w:pPr>
              <w:spacing w:after="160" w:line="300" w:lineRule="auto"/>
              <w:jc w:val="both"/>
              <w:rPr>
                <w:rFonts w:ascii="Arial" w:eastAsia="Arial" w:hAnsi="Arial" w:cs="Arial"/>
                <w:sz w:val="12"/>
                <w:szCs w:val="12"/>
              </w:rPr>
            </w:pPr>
          </w:p>
        </w:tc>
      </w:tr>
      <w:tr w:rsidR="002033A5" w:rsidRPr="00E619C8" w14:paraId="2E3C732E" w14:textId="77777777">
        <w:trPr>
          <w:trHeight w:val="158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57896FB"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2.2.2.1</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7E44D387"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173D2A9"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Internal policy to publish infrastructure information</w:t>
            </w:r>
          </w:p>
        </w:tc>
        <w:tc>
          <w:tcPr>
            <w:tcW w:w="1710" w:type="dxa"/>
            <w:tcBorders>
              <w:bottom w:val="single" w:sz="6" w:space="0" w:color="000000"/>
              <w:right w:val="single" w:sz="6" w:space="0" w:color="000000"/>
            </w:tcBorders>
            <w:tcMar>
              <w:top w:w="40" w:type="dxa"/>
              <w:left w:w="40" w:type="dxa"/>
              <w:bottom w:w="40" w:type="dxa"/>
              <w:right w:w="40" w:type="dxa"/>
            </w:tcMar>
          </w:tcPr>
          <w:p w14:paraId="43657789" w14:textId="3A693EA3"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There is in the entity an internal policy or an internal </w:t>
            </w:r>
            <w:r w:rsidR="00034D75">
              <w:rPr>
                <w:rFonts w:ascii="Arial" w:eastAsia="Arial" w:hAnsi="Arial" w:cs="Arial"/>
                <w:sz w:val="12"/>
                <w:szCs w:val="12"/>
              </w:rPr>
              <w:t>officialisation of a national or sub-national regulation, issued by the institutional authorities, for the publication of information containing, among other data, that</w:t>
            </w:r>
            <w:r w:rsidRPr="00E619C8">
              <w:rPr>
                <w:rFonts w:ascii="Arial" w:eastAsia="Arial" w:hAnsi="Arial" w:cs="Arial"/>
                <w:sz w:val="12"/>
                <w:szCs w:val="12"/>
              </w:rPr>
              <w:t xml:space="preserve"> referring to infrastructure projects.</w:t>
            </w:r>
          </w:p>
        </w:tc>
        <w:tc>
          <w:tcPr>
            <w:tcW w:w="855" w:type="dxa"/>
            <w:tcBorders>
              <w:bottom w:val="single" w:sz="6" w:space="0" w:color="000000"/>
              <w:right w:val="single" w:sz="6" w:space="0" w:color="000000"/>
            </w:tcBorders>
            <w:tcMar>
              <w:top w:w="40" w:type="dxa"/>
              <w:left w:w="40" w:type="dxa"/>
              <w:bottom w:w="40" w:type="dxa"/>
              <w:right w:w="40" w:type="dxa"/>
            </w:tcMar>
          </w:tcPr>
          <w:p w14:paraId="26A789F4"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04641E8D"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internal policy or officialization of a regulation or standard, or the officer does not know if any exists; 2 = There is one, but the entity does not fully comply with it; 3 = There is one and the entity fully complies in practice with it; 5 = There is one, it is based on the IDS or OC4IDS, and the entity fully complies in practice with it.</w:t>
            </w:r>
          </w:p>
        </w:tc>
        <w:tc>
          <w:tcPr>
            <w:tcW w:w="900" w:type="dxa"/>
            <w:tcBorders>
              <w:bottom w:val="single" w:sz="6" w:space="0" w:color="000000"/>
              <w:right w:val="single" w:sz="6" w:space="0" w:color="000000"/>
            </w:tcBorders>
            <w:tcMar>
              <w:top w:w="40" w:type="dxa"/>
              <w:left w:w="40" w:type="dxa"/>
              <w:bottom w:w="40" w:type="dxa"/>
              <w:right w:w="40" w:type="dxa"/>
            </w:tcMar>
          </w:tcPr>
          <w:p w14:paraId="0FF4B096"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39272829"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55A84664" w14:textId="77777777">
        <w:trPr>
          <w:trHeight w:val="96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01B6DB9"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2.2.2.2</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174D2D06"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6C4F85B"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Disclosure training programme</w:t>
            </w:r>
          </w:p>
        </w:tc>
        <w:tc>
          <w:tcPr>
            <w:tcW w:w="1710" w:type="dxa"/>
            <w:tcBorders>
              <w:bottom w:val="single" w:sz="6" w:space="0" w:color="000000"/>
              <w:right w:val="single" w:sz="6" w:space="0" w:color="000000"/>
            </w:tcBorders>
            <w:tcMar>
              <w:top w:w="40" w:type="dxa"/>
              <w:left w:w="40" w:type="dxa"/>
              <w:bottom w:w="40" w:type="dxa"/>
              <w:right w:w="40" w:type="dxa"/>
            </w:tcMar>
          </w:tcPr>
          <w:p w14:paraId="4D785EE0" w14:textId="46B0B284"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There is an internal disclosure training programme or dissemination process that makes personnel aware at all levels </w:t>
            </w:r>
            <w:r w:rsidR="00034D75">
              <w:rPr>
                <w:rFonts w:ascii="Arial" w:eastAsia="Arial" w:hAnsi="Arial" w:cs="Arial"/>
                <w:sz w:val="12"/>
                <w:szCs w:val="12"/>
              </w:rPr>
              <w:t>of</w:t>
            </w:r>
            <w:r w:rsidRPr="00E619C8">
              <w:rPr>
                <w:rFonts w:ascii="Arial" w:eastAsia="Arial" w:hAnsi="Arial" w:cs="Arial"/>
                <w:sz w:val="12"/>
                <w:szCs w:val="12"/>
              </w:rPr>
              <w:t xml:space="preserve"> matters of access to public information that includes infrastructure projects.</w:t>
            </w:r>
          </w:p>
        </w:tc>
        <w:tc>
          <w:tcPr>
            <w:tcW w:w="855" w:type="dxa"/>
            <w:tcBorders>
              <w:bottom w:val="single" w:sz="6" w:space="0" w:color="000000"/>
              <w:right w:val="single" w:sz="6" w:space="0" w:color="000000"/>
            </w:tcBorders>
            <w:tcMar>
              <w:top w:w="40" w:type="dxa"/>
              <w:left w:w="40" w:type="dxa"/>
              <w:bottom w:w="40" w:type="dxa"/>
              <w:right w:w="40" w:type="dxa"/>
            </w:tcMar>
          </w:tcPr>
          <w:p w14:paraId="1DDC8A79"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30B9084B" w14:textId="1CE94326"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training programme, or the officer does not know if there is one; 3 = There is a programme</w:t>
            </w:r>
            <w:r w:rsidR="00034D75">
              <w:rPr>
                <w:rFonts w:ascii="Arial" w:eastAsia="Arial" w:hAnsi="Arial" w:cs="Arial"/>
                <w:sz w:val="12"/>
                <w:szCs w:val="12"/>
              </w:rPr>
              <w:t xml:space="preserve">, but it </w:t>
            </w:r>
            <w:r w:rsidRPr="00E619C8">
              <w:rPr>
                <w:rFonts w:ascii="Arial" w:eastAsia="Arial" w:hAnsi="Arial" w:cs="Arial"/>
                <w:sz w:val="12"/>
                <w:szCs w:val="12"/>
              </w:rPr>
              <w:t>is only applied to some personnel; 5 = There is a programme and is applied to all institutional personnel.</w:t>
            </w:r>
          </w:p>
        </w:tc>
        <w:tc>
          <w:tcPr>
            <w:tcW w:w="900" w:type="dxa"/>
            <w:tcBorders>
              <w:bottom w:val="single" w:sz="6" w:space="0" w:color="000000"/>
              <w:right w:val="single" w:sz="6" w:space="0" w:color="000000"/>
            </w:tcBorders>
            <w:tcMar>
              <w:top w:w="40" w:type="dxa"/>
              <w:left w:w="40" w:type="dxa"/>
              <w:bottom w:w="40" w:type="dxa"/>
              <w:right w:w="40" w:type="dxa"/>
            </w:tcMar>
          </w:tcPr>
          <w:p w14:paraId="457FF1E6"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586FD76D" w14:textId="77777777" w:rsidR="002033A5" w:rsidRPr="00E619C8" w:rsidRDefault="00E113EC">
            <w:pPr>
              <w:spacing w:after="160" w:line="256" w:lineRule="auto"/>
              <w:jc w:val="both"/>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53F00BB1" w14:textId="77777777">
        <w:trPr>
          <w:trHeight w:val="105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3A14358"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2.2.2.3</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4CA158B7"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4D544D6"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Identification of limitations for publishing information</w:t>
            </w:r>
          </w:p>
        </w:tc>
        <w:tc>
          <w:tcPr>
            <w:tcW w:w="1710" w:type="dxa"/>
            <w:tcBorders>
              <w:bottom w:val="single" w:sz="6" w:space="0" w:color="000000"/>
              <w:right w:val="single" w:sz="6" w:space="0" w:color="000000"/>
            </w:tcBorders>
            <w:tcMar>
              <w:top w:w="40" w:type="dxa"/>
              <w:left w:w="40" w:type="dxa"/>
              <w:bottom w:w="40" w:type="dxa"/>
              <w:right w:w="40" w:type="dxa"/>
            </w:tcMar>
          </w:tcPr>
          <w:p w14:paraId="64BEB635" w14:textId="7DCA69F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The internal limitations to publishing infrastructure </w:t>
            </w:r>
            <w:r w:rsidR="00034D75">
              <w:rPr>
                <w:rFonts w:ascii="Arial" w:eastAsia="Arial" w:hAnsi="Arial" w:cs="Arial"/>
                <w:sz w:val="12"/>
                <w:szCs w:val="12"/>
              </w:rPr>
              <w:t>project</w:t>
            </w:r>
            <w:r w:rsidRPr="00E619C8">
              <w:rPr>
                <w:rFonts w:ascii="Arial" w:eastAsia="Arial" w:hAnsi="Arial" w:cs="Arial"/>
                <w:sz w:val="12"/>
                <w:szCs w:val="12"/>
              </w:rPr>
              <w:t xml:space="preserve"> information have been clearly identified.</w:t>
            </w:r>
          </w:p>
        </w:tc>
        <w:tc>
          <w:tcPr>
            <w:tcW w:w="855" w:type="dxa"/>
            <w:tcBorders>
              <w:bottom w:val="single" w:sz="6" w:space="0" w:color="000000"/>
              <w:right w:val="single" w:sz="6" w:space="0" w:color="000000"/>
            </w:tcBorders>
            <w:tcMar>
              <w:top w:w="40" w:type="dxa"/>
              <w:left w:w="40" w:type="dxa"/>
              <w:bottom w:w="40" w:type="dxa"/>
              <w:right w:w="40" w:type="dxa"/>
            </w:tcMar>
          </w:tcPr>
          <w:p w14:paraId="036101C0"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3B8CC4D8" w14:textId="066A79E3"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 officer does not recognise the existence of limitations; 3 = The officer knows the limitations but does not describe them adequately; 5 = The officer knows the limitations, describes them</w:t>
            </w:r>
            <w:r w:rsidR="00034D75">
              <w:rPr>
                <w:rFonts w:ascii="Arial" w:eastAsia="Arial" w:hAnsi="Arial" w:cs="Arial"/>
                <w:sz w:val="12"/>
                <w:szCs w:val="12"/>
              </w:rPr>
              <w:t>,</w:t>
            </w:r>
            <w:r w:rsidRPr="00E619C8">
              <w:rPr>
                <w:rFonts w:ascii="Arial" w:eastAsia="Arial" w:hAnsi="Arial" w:cs="Arial"/>
                <w:sz w:val="12"/>
                <w:szCs w:val="12"/>
              </w:rPr>
              <w:t xml:space="preserve"> and they are documented, or the officer may prove there are no limitations.</w:t>
            </w:r>
          </w:p>
        </w:tc>
        <w:tc>
          <w:tcPr>
            <w:tcW w:w="900" w:type="dxa"/>
            <w:tcBorders>
              <w:bottom w:val="single" w:sz="6" w:space="0" w:color="000000"/>
              <w:right w:val="single" w:sz="6" w:space="0" w:color="000000"/>
            </w:tcBorders>
            <w:tcMar>
              <w:top w:w="40" w:type="dxa"/>
              <w:left w:w="40" w:type="dxa"/>
              <w:bottom w:w="40" w:type="dxa"/>
              <w:right w:w="40" w:type="dxa"/>
            </w:tcMar>
          </w:tcPr>
          <w:p w14:paraId="22685EBF"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19079BC8"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521DA958" w14:textId="77777777">
        <w:trPr>
          <w:trHeight w:val="171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AFD5C71"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2.2.2.4</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24D03E68"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3F6F013"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Plan to mitigate limitations for publishing information</w:t>
            </w:r>
          </w:p>
        </w:tc>
        <w:tc>
          <w:tcPr>
            <w:tcW w:w="1710" w:type="dxa"/>
            <w:tcBorders>
              <w:bottom w:val="single" w:sz="6" w:space="0" w:color="000000"/>
              <w:right w:val="single" w:sz="6" w:space="0" w:color="000000"/>
            </w:tcBorders>
            <w:tcMar>
              <w:top w:w="40" w:type="dxa"/>
              <w:left w:w="40" w:type="dxa"/>
              <w:bottom w:w="40" w:type="dxa"/>
              <w:right w:w="40" w:type="dxa"/>
            </w:tcMar>
          </w:tcPr>
          <w:p w14:paraId="1364F002"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There is a document that contains the plan to reduce or eliminate the present limitations to publishing information that includes infrastructure projects.</w:t>
            </w:r>
          </w:p>
        </w:tc>
        <w:tc>
          <w:tcPr>
            <w:tcW w:w="855" w:type="dxa"/>
            <w:tcBorders>
              <w:bottom w:val="single" w:sz="6" w:space="0" w:color="000000"/>
              <w:right w:val="single" w:sz="6" w:space="0" w:color="000000"/>
            </w:tcBorders>
            <w:tcMar>
              <w:top w:w="40" w:type="dxa"/>
              <w:left w:w="40" w:type="dxa"/>
              <w:bottom w:w="40" w:type="dxa"/>
              <w:right w:w="40" w:type="dxa"/>
            </w:tcMar>
          </w:tcPr>
          <w:p w14:paraId="22582DCF"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2BE210B4"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documented plan to reduce or eliminate the limitations; 2 = There is a plan but it is not comprehensive and there is no evidence of its implementation; 3 = There is a non-comprehensive plan but there is evidence of its implementation; 4 = There is a comprehensive plan but there is no evidence of its implementation; 5 = There is a comprehensive plan and there is evidence of its implementation.</w:t>
            </w:r>
          </w:p>
        </w:tc>
        <w:tc>
          <w:tcPr>
            <w:tcW w:w="900" w:type="dxa"/>
            <w:tcBorders>
              <w:bottom w:val="single" w:sz="6" w:space="0" w:color="000000"/>
              <w:right w:val="single" w:sz="6" w:space="0" w:color="000000"/>
            </w:tcBorders>
            <w:tcMar>
              <w:top w:w="40" w:type="dxa"/>
              <w:left w:w="40" w:type="dxa"/>
              <w:bottom w:w="40" w:type="dxa"/>
              <w:right w:w="40" w:type="dxa"/>
            </w:tcMar>
          </w:tcPr>
          <w:p w14:paraId="1AA78D34"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28E0C621"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351D602D" w14:textId="77777777">
        <w:trPr>
          <w:trHeight w:val="111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6F66823"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2.2.2.5</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4605F862"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E169021" w14:textId="2526BA36"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 xml:space="preserve">Bureaucratic barriers to </w:t>
            </w:r>
            <w:r w:rsidR="00034D75">
              <w:rPr>
                <w:rFonts w:ascii="Arial" w:eastAsia="Arial" w:hAnsi="Arial" w:cs="Arial"/>
                <w:sz w:val="12"/>
                <w:szCs w:val="12"/>
              </w:rPr>
              <w:t>publishing</w:t>
            </w:r>
            <w:r w:rsidRPr="00E619C8">
              <w:rPr>
                <w:rFonts w:ascii="Arial" w:eastAsia="Arial" w:hAnsi="Arial" w:cs="Arial"/>
                <w:sz w:val="12"/>
                <w:szCs w:val="12"/>
              </w:rPr>
              <w:t xml:space="preserve"> information</w:t>
            </w:r>
          </w:p>
        </w:tc>
        <w:tc>
          <w:tcPr>
            <w:tcW w:w="1710" w:type="dxa"/>
            <w:tcBorders>
              <w:bottom w:val="single" w:sz="6" w:space="0" w:color="000000"/>
              <w:right w:val="single" w:sz="6" w:space="0" w:color="000000"/>
            </w:tcBorders>
            <w:tcMar>
              <w:top w:w="40" w:type="dxa"/>
              <w:left w:w="40" w:type="dxa"/>
              <w:bottom w:w="40" w:type="dxa"/>
              <w:right w:w="40" w:type="dxa"/>
            </w:tcMar>
          </w:tcPr>
          <w:p w14:paraId="72A43B98" w14:textId="567CE8ED"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process of proactive and reactive publication of public information, in practice, is not hindered by internal bureaucracy, for example</w:t>
            </w:r>
            <w:r w:rsidR="00034D75">
              <w:rPr>
                <w:rFonts w:ascii="Arial" w:eastAsia="Arial" w:hAnsi="Arial" w:cs="Arial"/>
                <w:sz w:val="12"/>
                <w:szCs w:val="12"/>
              </w:rPr>
              <w:t>,</w:t>
            </w:r>
            <w:r w:rsidRPr="00E619C8">
              <w:rPr>
                <w:rFonts w:ascii="Arial" w:eastAsia="Arial" w:hAnsi="Arial" w:cs="Arial"/>
                <w:sz w:val="12"/>
                <w:szCs w:val="12"/>
              </w:rPr>
              <w:t xml:space="preserve"> when it is necessary to obtain approval from multiple parties.</w:t>
            </w:r>
          </w:p>
        </w:tc>
        <w:tc>
          <w:tcPr>
            <w:tcW w:w="855" w:type="dxa"/>
            <w:tcBorders>
              <w:bottom w:val="single" w:sz="6" w:space="0" w:color="000000"/>
              <w:right w:val="single" w:sz="6" w:space="0" w:color="000000"/>
            </w:tcBorders>
            <w:tcMar>
              <w:top w:w="40" w:type="dxa"/>
              <w:left w:w="40" w:type="dxa"/>
              <w:bottom w:w="40" w:type="dxa"/>
              <w:right w:w="40" w:type="dxa"/>
            </w:tcMar>
          </w:tcPr>
          <w:p w14:paraId="218F2EEE"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0D082BEB" w14:textId="0504206C"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0 = The process is highly bureaucratic, or the officer cannot describe whether this type of problem is present; 3 = It is considered that these obstacles are few; 5 = It is considered </w:t>
            </w:r>
            <w:r w:rsidR="00034D75">
              <w:rPr>
                <w:rFonts w:ascii="Arial" w:eastAsia="Arial" w:hAnsi="Arial" w:cs="Arial"/>
                <w:sz w:val="12"/>
                <w:szCs w:val="12"/>
              </w:rPr>
              <w:t>that there are no bureaucratic obstacles to publishing</w:t>
            </w:r>
            <w:r w:rsidRPr="00E619C8">
              <w:rPr>
                <w:rFonts w:ascii="Arial" w:eastAsia="Arial" w:hAnsi="Arial" w:cs="Arial"/>
                <w:sz w:val="12"/>
                <w:szCs w:val="12"/>
              </w:rPr>
              <w:t xml:space="preserve"> public information.</w:t>
            </w:r>
          </w:p>
        </w:tc>
        <w:tc>
          <w:tcPr>
            <w:tcW w:w="900" w:type="dxa"/>
            <w:tcBorders>
              <w:bottom w:val="single" w:sz="6" w:space="0" w:color="000000"/>
              <w:right w:val="single" w:sz="6" w:space="0" w:color="000000"/>
            </w:tcBorders>
            <w:tcMar>
              <w:top w:w="40" w:type="dxa"/>
              <w:left w:w="40" w:type="dxa"/>
              <w:bottom w:w="40" w:type="dxa"/>
              <w:right w:w="40" w:type="dxa"/>
            </w:tcMar>
          </w:tcPr>
          <w:p w14:paraId="0D89867A"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6FF8C152"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0CE8BF71" w14:textId="77777777">
        <w:trPr>
          <w:trHeight w:val="204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2FF5BB7"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2.2.2.6</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596E4C40"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7702C1B"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Documentation and reaction to non-compliance and sanctions</w:t>
            </w:r>
          </w:p>
        </w:tc>
        <w:tc>
          <w:tcPr>
            <w:tcW w:w="1710" w:type="dxa"/>
            <w:tcBorders>
              <w:bottom w:val="single" w:sz="6" w:space="0" w:color="000000"/>
              <w:right w:val="single" w:sz="6" w:space="0" w:color="000000"/>
            </w:tcBorders>
            <w:tcMar>
              <w:top w:w="40" w:type="dxa"/>
              <w:left w:w="40" w:type="dxa"/>
              <w:bottom w:w="40" w:type="dxa"/>
              <w:right w:w="40" w:type="dxa"/>
            </w:tcMar>
          </w:tcPr>
          <w:p w14:paraId="2559077D" w14:textId="50301D76"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There is documentation at the entity acknowledging, reacting and </w:t>
            </w:r>
            <w:r w:rsidR="00034D75">
              <w:rPr>
                <w:rFonts w:ascii="Arial" w:eastAsia="Arial" w:hAnsi="Arial" w:cs="Arial"/>
                <w:sz w:val="12"/>
                <w:szCs w:val="12"/>
              </w:rPr>
              <w:t>following up</w:t>
            </w:r>
            <w:r w:rsidRPr="00E619C8">
              <w:rPr>
                <w:rFonts w:ascii="Arial" w:eastAsia="Arial" w:hAnsi="Arial" w:cs="Arial"/>
                <w:sz w:val="12"/>
                <w:szCs w:val="12"/>
              </w:rPr>
              <w:t xml:space="preserve"> on non-compliance and sanctions imposed by controlling entities due to non-compliance with the access-to-information and/or state contracts regulatory framework.</w:t>
            </w:r>
          </w:p>
        </w:tc>
        <w:tc>
          <w:tcPr>
            <w:tcW w:w="855" w:type="dxa"/>
            <w:tcBorders>
              <w:bottom w:val="single" w:sz="6" w:space="0" w:color="000000"/>
              <w:right w:val="single" w:sz="6" w:space="0" w:color="000000"/>
            </w:tcBorders>
            <w:tcMar>
              <w:top w:w="40" w:type="dxa"/>
              <w:left w:w="40" w:type="dxa"/>
              <w:bottom w:w="40" w:type="dxa"/>
              <w:right w:w="40" w:type="dxa"/>
            </w:tcMar>
          </w:tcPr>
          <w:p w14:paraId="63810DAA"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68F628FE"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documentation, or the officer does not know if there is some; 2 = There is documentation but no reaction and follow-up (of the non-compliances and/or sanctions), or the follow-up cannot be described; 3 = There is documentation, reaction and follow-up (of the non-compliances and/or sanctions); 5 = The officer can show from the specific documentation that they have not received sanctions from controlling entities at the present year.</w:t>
            </w:r>
          </w:p>
        </w:tc>
        <w:tc>
          <w:tcPr>
            <w:tcW w:w="900" w:type="dxa"/>
            <w:tcBorders>
              <w:bottom w:val="single" w:sz="6" w:space="0" w:color="000000"/>
              <w:right w:val="single" w:sz="6" w:space="0" w:color="000000"/>
            </w:tcBorders>
            <w:tcMar>
              <w:top w:w="40" w:type="dxa"/>
              <w:left w:w="40" w:type="dxa"/>
              <w:bottom w:w="40" w:type="dxa"/>
              <w:right w:w="40" w:type="dxa"/>
            </w:tcMar>
          </w:tcPr>
          <w:p w14:paraId="468F8A3D"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0BB72A91"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156770B5" w14:textId="77777777">
        <w:trPr>
          <w:trHeight w:val="555"/>
        </w:trPr>
        <w:tc>
          <w:tcPr>
            <w:tcW w:w="690" w:type="dxa"/>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5804FF75"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2.2.3</w:t>
            </w:r>
          </w:p>
        </w:tc>
        <w:tc>
          <w:tcPr>
            <w:tcW w:w="855"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52C90830"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Sub-variable</w:t>
            </w:r>
          </w:p>
        </w:tc>
        <w:tc>
          <w:tcPr>
            <w:tcW w:w="1140"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054C0DBB"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Control over infrastructure projects disclosure</w:t>
            </w:r>
          </w:p>
        </w:tc>
        <w:tc>
          <w:tcPr>
            <w:tcW w:w="1710" w:type="dxa"/>
            <w:tcBorders>
              <w:bottom w:val="single" w:sz="6" w:space="0" w:color="000000"/>
              <w:right w:val="single" w:sz="6" w:space="0" w:color="000000"/>
            </w:tcBorders>
            <w:shd w:val="clear" w:color="auto" w:fill="D9D9D9"/>
            <w:tcMar>
              <w:top w:w="40" w:type="dxa"/>
              <w:left w:w="40" w:type="dxa"/>
              <w:bottom w:w="40" w:type="dxa"/>
              <w:right w:w="40" w:type="dxa"/>
            </w:tcMar>
          </w:tcPr>
          <w:p w14:paraId="51B76ED0" w14:textId="272697F9"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Assesses the awareness of how much information related to all the entities' infrastructure projects is disclosed.</w:t>
            </w:r>
          </w:p>
        </w:tc>
        <w:tc>
          <w:tcPr>
            <w:tcW w:w="855" w:type="dxa"/>
            <w:tcBorders>
              <w:bottom w:val="single" w:sz="6" w:space="0" w:color="000000"/>
              <w:right w:val="single" w:sz="6" w:space="0" w:color="000000"/>
            </w:tcBorders>
            <w:shd w:val="clear" w:color="auto" w:fill="D9D9D9"/>
            <w:tcMar>
              <w:top w:w="40" w:type="dxa"/>
              <w:left w:w="40" w:type="dxa"/>
              <w:bottom w:w="40" w:type="dxa"/>
              <w:right w:w="40" w:type="dxa"/>
            </w:tcMar>
          </w:tcPr>
          <w:p w14:paraId="0522FE07" w14:textId="77777777" w:rsidR="002033A5" w:rsidRPr="00E619C8" w:rsidRDefault="002033A5">
            <w:pPr>
              <w:pBdr>
                <w:top w:val="nil"/>
                <w:left w:val="nil"/>
                <w:bottom w:val="nil"/>
                <w:right w:val="nil"/>
                <w:between w:val="nil"/>
              </w:pBdr>
              <w:spacing w:after="160" w:line="276" w:lineRule="auto"/>
              <w:rPr>
                <w:rFonts w:ascii="Arial" w:eastAsia="Arial" w:hAnsi="Arial" w:cs="Arial"/>
                <w:sz w:val="12"/>
                <w:szCs w:val="12"/>
              </w:rPr>
            </w:pPr>
          </w:p>
        </w:tc>
        <w:tc>
          <w:tcPr>
            <w:tcW w:w="1950" w:type="dxa"/>
            <w:tcBorders>
              <w:bottom w:val="single" w:sz="6" w:space="0" w:color="000000"/>
              <w:right w:val="single" w:sz="6" w:space="0" w:color="000000"/>
            </w:tcBorders>
            <w:shd w:val="clear" w:color="auto" w:fill="D9D9D9"/>
            <w:tcMar>
              <w:top w:w="40" w:type="dxa"/>
              <w:left w:w="40" w:type="dxa"/>
              <w:bottom w:w="40" w:type="dxa"/>
              <w:right w:w="40" w:type="dxa"/>
            </w:tcMar>
          </w:tcPr>
          <w:p w14:paraId="2A780B91"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900" w:type="dxa"/>
            <w:tcBorders>
              <w:bottom w:val="single" w:sz="6" w:space="0" w:color="000000"/>
              <w:right w:val="single" w:sz="6" w:space="0" w:color="000000"/>
            </w:tcBorders>
            <w:shd w:val="clear" w:color="auto" w:fill="D9D9D9"/>
            <w:tcMar>
              <w:top w:w="40" w:type="dxa"/>
              <w:left w:w="40" w:type="dxa"/>
              <w:bottom w:w="40" w:type="dxa"/>
              <w:right w:w="40" w:type="dxa"/>
            </w:tcMar>
          </w:tcPr>
          <w:p w14:paraId="5A6075EB"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0.3</w:t>
            </w:r>
          </w:p>
        </w:tc>
        <w:tc>
          <w:tcPr>
            <w:tcW w:w="930"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419893B5" w14:textId="77777777" w:rsidR="002033A5" w:rsidRPr="00E619C8" w:rsidRDefault="002033A5">
            <w:pPr>
              <w:spacing w:after="160" w:line="300" w:lineRule="auto"/>
              <w:jc w:val="both"/>
              <w:rPr>
                <w:rFonts w:ascii="Arial" w:eastAsia="Arial" w:hAnsi="Arial" w:cs="Arial"/>
                <w:sz w:val="12"/>
                <w:szCs w:val="12"/>
              </w:rPr>
            </w:pPr>
          </w:p>
        </w:tc>
      </w:tr>
      <w:tr w:rsidR="002033A5" w:rsidRPr="00E619C8" w14:paraId="111658FB" w14:textId="77777777">
        <w:trPr>
          <w:trHeight w:val="158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C5B7D16"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2.2.3.1</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1CDA8AB6"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07083A2B"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Level of disclosed infrastructure projects</w:t>
            </w:r>
          </w:p>
        </w:tc>
        <w:tc>
          <w:tcPr>
            <w:tcW w:w="1710" w:type="dxa"/>
            <w:tcBorders>
              <w:bottom w:val="single" w:sz="6" w:space="0" w:color="000000"/>
              <w:right w:val="single" w:sz="6" w:space="0" w:color="000000"/>
            </w:tcBorders>
            <w:tcMar>
              <w:top w:w="40" w:type="dxa"/>
              <w:left w:w="40" w:type="dxa"/>
              <w:bottom w:w="40" w:type="dxa"/>
              <w:right w:w="40" w:type="dxa"/>
            </w:tcMar>
          </w:tcPr>
          <w:p w14:paraId="61AC3320"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Proportion of projects on which information is disclosed, complying with the national or sub-national infrastructure data standard, compared with the total number of projects managed by the procuring entity, expressed as a percentage.</w:t>
            </w:r>
          </w:p>
        </w:tc>
        <w:tc>
          <w:tcPr>
            <w:tcW w:w="855" w:type="dxa"/>
            <w:tcBorders>
              <w:bottom w:val="single" w:sz="6" w:space="0" w:color="000000"/>
              <w:right w:val="single" w:sz="6" w:space="0" w:color="000000"/>
            </w:tcBorders>
            <w:tcMar>
              <w:top w:w="40" w:type="dxa"/>
              <w:left w:w="40" w:type="dxa"/>
              <w:bottom w:w="40" w:type="dxa"/>
              <w:right w:w="40" w:type="dxa"/>
            </w:tcMar>
          </w:tcPr>
          <w:p w14:paraId="2632329C"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 and/or national or sub-national websites</w:t>
            </w:r>
          </w:p>
        </w:tc>
        <w:tc>
          <w:tcPr>
            <w:tcW w:w="1950" w:type="dxa"/>
            <w:tcBorders>
              <w:bottom w:val="single" w:sz="6" w:space="0" w:color="000000"/>
              <w:right w:val="single" w:sz="6" w:space="0" w:color="000000"/>
            </w:tcBorders>
            <w:tcMar>
              <w:top w:w="40" w:type="dxa"/>
              <w:left w:w="40" w:type="dxa"/>
              <w:bottom w:w="40" w:type="dxa"/>
              <w:right w:w="40" w:type="dxa"/>
            </w:tcMar>
          </w:tcPr>
          <w:p w14:paraId="6ECC584C"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0-10%, or if the officer could not give any numbers; 1 = 11-29%; 2 = 30-49%; 3 = 50-65%; 4 = 66-85%; 5 = 86-100% (approximate calculations according to the available information).</w:t>
            </w:r>
          </w:p>
        </w:tc>
        <w:tc>
          <w:tcPr>
            <w:tcW w:w="900" w:type="dxa"/>
            <w:tcBorders>
              <w:bottom w:val="single" w:sz="6" w:space="0" w:color="000000"/>
              <w:right w:val="single" w:sz="6" w:space="0" w:color="000000"/>
            </w:tcBorders>
            <w:tcMar>
              <w:top w:w="40" w:type="dxa"/>
              <w:left w:w="40" w:type="dxa"/>
              <w:bottom w:w="40" w:type="dxa"/>
              <w:right w:w="40" w:type="dxa"/>
            </w:tcMar>
          </w:tcPr>
          <w:p w14:paraId="30643C58"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106BC2A1"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2D63580A" w14:textId="77777777">
        <w:trPr>
          <w:trHeight w:val="203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1605B65"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2.2.3.2</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089EECBD"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3ECC73B"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Level of investment represented by disclosed infrastructure projects</w:t>
            </w:r>
          </w:p>
        </w:tc>
        <w:tc>
          <w:tcPr>
            <w:tcW w:w="1710" w:type="dxa"/>
            <w:tcBorders>
              <w:bottom w:val="single" w:sz="6" w:space="0" w:color="000000"/>
              <w:right w:val="single" w:sz="6" w:space="0" w:color="000000"/>
            </w:tcBorders>
            <w:tcMar>
              <w:top w:w="40" w:type="dxa"/>
              <w:left w:w="40" w:type="dxa"/>
              <w:bottom w:w="40" w:type="dxa"/>
              <w:right w:w="40" w:type="dxa"/>
            </w:tcMar>
          </w:tcPr>
          <w:p w14:paraId="3DA40198"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Amount of investment represented by projects on which information is proactively disclosed by the procuring entity, complying with the national or sub-national infrastructure data standard, as a proportion of the total amount of investment on infrastructure projects, expressed as a percentage.</w:t>
            </w:r>
          </w:p>
        </w:tc>
        <w:tc>
          <w:tcPr>
            <w:tcW w:w="855" w:type="dxa"/>
            <w:tcBorders>
              <w:bottom w:val="single" w:sz="6" w:space="0" w:color="000000"/>
              <w:right w:val="single" w:sz="6" w:space="0" w:color="000000"/>
            </w:tcBorders>
            <w:tcMar>
              <w:top w:w="40" w:type="dxa"/>
              <w:left w:w="40" w:type="dxa"/>
              <w:bottom w:w="40" w:type="dxa"/>
              <w:right w:w="40" w:type="dxa"/>
            </w:tcMar>
          </w:tcPr>
          <w:p w14:paraId="57DDF1EB"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 and/or national or sub-national websites</w:t>
            </w:r>
          </w:p>
        </w:tc>
        <w:tc>
          <w:tcPr>
            <w:tcW w:w="1950" w:type="dxa"/>
            <w:tcBorders>
              <w:bottom w:val="single" w:sz="6" w:space="0" w:color="000000"/>
              <w:right w:val="single" w:sz="6" w:space="0" w:color="000000"/>
            </w:tcBorders>
            <w:tcMar>
              <w:top w:w="40" w:type="dxa"/>
              <w:left w:w="40" w:type="dxa"/>
              <w:bottom w:w="40" w:type="dxa"/>
              <w:right w:w="40" w:type="dxa"/>
            </w:tcMar>
          </w:tcPr>
          <w:p w14:paraId="7896AC12"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0-10%, or if the officer could not give any numbers; 1 = 11-29%; 2 = 30-49%; 3 = 50-65%; 4 = 66-85%; 5 = 86-100% (approximate calculations according to the available information).</w:t>
            </w:r>
          </w:p>
        </w:tc>
        <w:tc>
          <w:tcPr>
            <w:tcW w:w="900" w:type="dxa"/>
            <w:tcBorders>
              <w:bottom w:val="single" w:sz="6" w:space="0" w:color="000000"/>
              <w:right w:val="single" w:sz="6" w:space="0" w:color="000000"/>
            </w:tcBorders>
            <w:tcMar>
              <w:top w:w="40" w:type="dxa"/>
              <w:left w:w="40" w:type="dxa"/>
              <w:bottom w:w="40" w:type="dxa"/>
              <w:right w:w="40" w:type="dxa"/>
            </w:tcMar>
          </w:tcPr>
          <w:p w14:paraId="4754175D"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00112920"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029C6CCC" w14:textId="77777777">
        <w:trPr>
          <w:trHeight w:val="1320"/>
        </w:trPr>
        <w:tc>
          <w:tcPr>
            <w:tcW w:w="690" w:type="dxa"/>
            <w:tcBorders>
              <w:top w:val="nil"/>
              <w:left w:val="single" w:sz="8" w:space="0" w:color="000000"/>
              <w:bottom w:val="single" w:sz="8" w:space="0" w:color="000000"/>
              <w:right w:val="single" w:sz="8" w:space="0" w:color="000000"/>
            </w:tcBorders>
            <w:shd w:val="clear" w:color="auto" w:fill="808080"/>
            <w:tcMar>
              <w:top w:w="100" w:type="dxa"/>
              <w:left w:w="80" w:type="dxa"/>
              <w:bottom w:w="100" w:type="dxa"/>
              <w:right w:w="80" w:type="dxa"/>
            </w:tcMar>
          </w:tcPr>
          <w:p w14:paraId="57353FF0" w14:textId="77777777" w:rsidR="002033A5" w:rsidRPr="00E619C8" w:rsidRDefault="00E113EC">
            <w:pPr>
              <w:spacing w:after="160" w:line="276" w:lineRule="auto"/>
              <w:ind w:left="-180"/>
              <w:jc w:val="center"/>
              <w:rPr>
                <w:rFonts w:ascii="Arial" w:eastAsia="Arial" w:hAnsi="Arial" w:cs="Arial"/>
                <w:color w:val="FFFFFF"/>
                <w:sz w:val="12"/>
                <w:szCs w:val="12"/>
              </w:rPr>
            </w:pPr>
            <w:r w:rsidRPr="00E619C8">
              <w:rPr>
                <w:rFonts w:ascii="Arial" w:eastAsia="Arial" w:hAnsi="Arial" w:cs="Arial"/>
                <w:color w:val="FFFFFF"/>
                <w:sz w:val="12"/>
                <w:szCs w:val="12"/>
              </w:rPr>
              <w:t>3</w:t>
            </w:r>
          </w:p>
        </w:tc>
        <w:tc>
          <w:tcPr>
            <w:tcW w:w="855"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30E2CC88" w14:textId="77777777" w:rsidR="002033A5" w:rsidRPr="00E619C8" w:rsidRDefault="00E113EC">
            <w:pPr>
              <w:spacing w:after="160" w:line="276" w:lineRule="auto"/>
              <w:ind w:left="-12"/>
              <w:jc w:val="both"/>
              <w:rPr>
                <w:rFonts w:ascii="Arial" w:eastAsia="Arial" w:hAnsi="Arial" w:cs="Arial"/>
                <w:color w:val="FFFFFF"/>
                <w:sz w:val="12"/>
                <w:szCs w:val="12"/>
              </w:rPr>
            </w:pPr>
            <w:r w:rsidRPr="00E619C8">
              <w:rPr>
                <w:rFonts w:ascii="Arial" w:eastAsia="Arial" w:hAnsi="Arial" w:cs="Arial"/>
                <w:color w:val="FFFFFF"/>
                <w:sz w:val="12"/>
                <w:szCs w:val="12"/>
              </w:rPr>
              <w:t>Dimension</w:t>
            </w:r>
          </w:p>
        </w:tc>
        <w:tc>
          <w:tcPr>
            <w:tcW w:w="1140"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07CD37EE" w14:textId="77777777" w:rsidR="002033A5" w:rsidRPr="00E619C8" w:rsidRDefault="00E113EC">
            <w:pPr>
              <w:spacing w:after="160" w:line="276" w:lineRule="auto"/>
              <w:rPr>
                <w:rFonts w:ascii="Arial" w:eastAsia="Arial" w:hAnsi="Arial" w:cs="Arial"/>
                <w:color w:val="FFFFFF"/>
                <w:sz w:val="12"/>
                <w:szCs w:val="12"/>
              </w:rPr>
            </w:pPr>
            <w:r w:rsidRPr="00E619C8">
              <w:rPr>
                <w:rFonts w:ascii="Arial" w:eastAsia="Arial" w:hAnsi="Arial" w:cs="Arial"/>
                <w:color w:val="FFFFFF"/>
                <w:sz w:val="12"/>
                <w:szCs w:val="12"/>
              </w:rPr>
              <w:t>Citizen participation</w:t>
            </w:r>
          </w:p>
        </w:tc>
        <w:tc>
          <w:tcPr>
            <w:tcW w:w="1710"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66E7539D" w14:textId="77777777" w:rsidR="002033A5" w:rsidRPr="00E619C8" w:rsidRDefault="00E113EC">
            <w:pPr>
              <w:spacing w:line="276" w:lineRule="auto"/>
              <w:rPr>
                <w:rFonts w:ascii="Arial" w:eastAsia="Arial" w:hAnsi="Arial" w:cs="Arial"/>
                <w:color w:val="FFFFFF"/>
                <w:sz w:val="12"/>
                <w:szCs w:val="12"/>
              </w:rPr>
            </w:pPr>
            <w:r w:rsidRPr="00E619C8">
              <w:rPr>
                <w:rFonts w:ascii="Arial" w:eastAsia="Arial" w:hAnsi="Arial" w:cs="Arial"/>
                <w:color w:val="FFFFFF"/>
                <w:sz w:val="12"/>
                <w:szCs w:val="12"/>
              </w:rPr>
              <w:t>Evaluates the opportunities provided by procuring entities for citizen participation and how citizens use the disclosed public information.</w:t>
            </w:r>
          </w:p>
        </w:tc>
        <w:tc>
          <w:tcPr>
            <w:tcW w:w="855"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537FAA0A" w14:textId="77777777" w:rsidR="002033A5" w:rsidRPr="00E619C8" w:rsidRDefault="00E113EC">
            <w:pPr>
              <w:spacing w:after="160" w:line="276" w:lineRule="auto"/>
              <w:rPr>
                <w:rFonts w:ascii="Arial" w:eastAsia="Arial" w:hAnsi="Arial" w:cs="Arial"/>
                <w:color w:val="FFFFFF"/>
                <w:sz w:val="12"/>
                <w:szCs w:val="12"/>
              </w:rPr>
            </w:pPr>
            <w:r w:rsidRPr="00E619C8">
              <w:rPr>
                <w:rFonts w:ascii="Arial" w:eastAsia="Arial" w:hAnsi="Arial" w:cs="Arial"/>
                <w:color w:val="FFFFFF"/>
                <w:sz w:val="12"/>
                <w:szCs w:val="12"/>
              </w:rPr>
              <w:t xml:space="preserve"> </w:t>
            </w:r>
          </w:p>
        </w:tc>
        <w:tc>
          <w:tcPr>
            <w:tcW w:w="1950"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63AB3313" w14:textId="77777777" w:rsidR="002033A5" w:rsidRPr="00E619C8" w:rsidRDefault="00E113EC">
            <w:pPr>
              <w:spacing w:line="276" w:lineRule="auto"/>
              <w:rPr>
                <w:rFonts w:ascii="Arial" w:eastAsia="Arial" w:hAnsi="Arial" w:cs="Arial"/>
                <w:color w:val="FFFFFF"/>
                <w:sz w:val="12"/>
                <w:szCs w:val="12"/>
              </w:rPr>
            </w:pPr>
            <w:r w:rsidRPr="00E619C8">
              <w:rPr>
                <w:rFonts w:ascii="Arial" w:eastAsia="Arial" w:hAnsi="Arial" w:cs="Arial"/>
                <w:color w:val="FFFFFF"/>
                <w:sz w:val="12"/>
                <w:szCs w:val="12"/>
              </w:rPr>
              <w:t>The indicators of this dimension are evaluated “</w:t>
            </w:r>
            <w:r w:rsidRPr="00E619C8">
              <w:rPr>
                <w:rFonts w:ascii="Arial" w:eastAsia="Arial" w:hAnsi="Arial" w:cs="Arial"/>
                <w:i/>
                <w:iCs/>
                <w:color w:val="FFFFFF"/>
                <w:sz w:val="12"/>
                <w:szCs w:val="12"/>
              </w:rPr>
              <w:t>n</w:t>
            </w:r>
            <w:r w:rsidRPr="00E619C8">
              <w:rPr>
                <w:rFonts w:ascii="Arial" w:eastAsia="Arial" w:hAnsi="Arial" w:cs="Arial"/>
                <w:color w:val="FFFFFF"/>
                <w:sz w:val="12"/>
                <w:szCs w:val="12"/>
                <w:vertAlign w:val="subscript"/>
              </w:rPr>
              <w:t>e</w:t>
            </w:r>
            <w:r w:rsidRPr="00E619C8">
              <w:rPr>
                <w:rFonts w:ascii="Arial" w:eastAsia="Arial" w:hAnsi="Arial" w:cs="Arial"/>
                <w:color w:val="FFFFFF"/>
                <w:sz w:val="12"/>
                <w:szCs w:val="12"/>
              </w:rPr>
              <w:t>” times at the procuring entity level.</w:t>
            </w:r>
          </w:p>
        </w:tc>
        <w:tc>
          <w:tcPr>
            <w:tcW w:w="900"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39D339E4" w14:textId="77777777" w:rsidR="002033A5" w:rsidRPr="00E619C8" w:rsidRDefault="00E113EC">
            <w:pPr>
              <w:spacing w:after="160" w:line="276" w:lineRule="auto"/>
              <w:jc w:val="center"/>
              <w:rPr>
                <w:rFonts w:ascii="Arial" w:eastAsia="Arial" w:hAnsi="Arial" w:cs="Arial"/>
                <w:color w:val="FFFFFF"/>
                <w:sz w:val="12"/>
                <w:szCs w:val="12"/>
              </w:rPr>
            </w:pPr>
            <w:r w:rsidRPr="00E619C8">
              <w:rPr>
                <w:rFonts w:ascii="Arial" w:eastAsia="Arial" w:hAnsi="Arial" w:cs="Arial"/>
                <w:color w:val="FFFFFF"/>
                <w:sz w:val="12"/>
                <w:szCs w:val="12"/>
              </w:rPr>
              <w:t>0.20 when calculating the national or sub-national ITI score</w:t>
            </w:r>
          </w:p>
          <w:p w14:paraId="7760BF6F" w14:textId="77777777" w:rsidR="002033A5" w:rsidRPr="00E619C8" w:rsidRDefault="00E113EC">
            <w:pPr>
              <w:spacing w:after="160" w:line="276" w:lineRule="auto"/>
              <w:jc w:val="center"/>
              <w:rPr>
                <w:rFonts w:ascii="Arial" w:eastAsia="Arial" w:hAnsi="Arial" w:cs="Arial"/>
                <w:color w:val="FFFFFF"/>
                <w:sz w:val="12"/>
                <w:szCs w:val="12"/>
              </w:rPr>
            </w:pPr>
            <w:r w:rsidRPr="00E619C8">
              <w:rPr>
                <w:rFonts w:ascii="Arial" w:eastAsia="Arial" w:hAnsi="Arial" w:cs="Arial"/>
                <w:color w:val="FFFFFF"/>
                <w:sz w:val="12"/>
                <w:szCs w:val="12"/>
              </w:rPr>
              <w:t>0.25 when calculating the procuring entity ITI score</w:t>
            </w:r>
          </w:p>
        </w:tc>
        <w:tc>
          <w:tcPr>
            <w:tcW w:w="930"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559CFCD5" w14:textId="77777777" w:rsidR="002033A5" w:rsidRPr="00E619C8" w:rsidRDefault="002033A5">
            <w:pPr>
              <w:spacing w:after="160" w:line="300" w:lineRule="auto"/>
              <w:jc w:val="both"/>
              <w:rPr>
                <w:rFonts w:ascii="Arial" w:eastAsia="Arial" w:hAnsi="Arial" w:cs="Arial"/>
                <w:sz w:val="12"/>
                <w:szCs w:val="12"/>
              </w:rPr>
            </w:pPr>
          </w:p>
        </w:tc>
      </w:tr>
      <w:tr w:rsidR="002033A5" w:rsidRPr="00E619C8" w14:paraId="400C52D8" w14:textId="77777777">
        <w:trPr>
          <w:trHeight w:val="12"/>
        </w:trPr>
        <w:tc>
          <w:tcPr>
            <w:tcW w:w="690" w:type="dxa"/>
            <w:tcBorders>
              <w:top w:val="nil"/>
              <w:left w:val="single" w:sz="8" w:space="0" w:color="000000"/>
              <w:bottom w:val="single" w:sz="8" w:space="0" w:color="000000"/>
              <w:right w:val="single" w:sz="8" w:space="0" w:color="000000"/>
            </w:tcBorders>
            <w:shd w:val="clear" w:color="auto" w:fill="A6A6A6"/>
            <w:tcMar>
              <w:top w:w="100" w:type="dxa"/>
              <w:left w:w="80" w:type="dxa"/>
              <w:bottom w:w="100" w:type="dxa"/>
              <w:right w:w="80" w:type="dxa"/>
            </w:tcMar>
          </w:tcPr>
          <w:p w14:paraId="4606736C"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3.1</w:t>
            </w:r>
          </w:p>
        </w:tc>
        <w:tc>
          <w:tcPr>
            <w:tcW w:w="855"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0086E19D"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Variable</w:t>
            </w:r>
          </w:p>
        </w:tc>
        <w:tc>
          <w:tcPr>
            <w:tcW w:w="114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5189F350" w14:textId="77777777" w:rsidR="002033A5" w:rsidRPr="00E619C8" w:rsidRDefault="00E113EC">
            <w:pPr>
              <w:spacing w:after="160" w:line="276" w:lineRule="auto"/>
              <w:rPr>
                <w:rFonts w:ascii="Arial" w:eastAsia="Arial" w:hAnsi="Arial" w:cs="Arial"/>
                <w:sz w:val="12"/>
                <w:szCs w:val="12"/>
              </w:rPr>
            </w:pPr>
            <w:r w:rsidRPr="00E619C8">
              <w:rPr>
                <w:rFonts w:ascii="Arial" w:eastAsia="Arial" w:hAnsi="Arial" w:cs="Arial"/>
                <w:sz w:val="12"/>
                <w:szCs w:val="12"/>
              </w:rPr>
              <w:t>Participation practices</w:t>
            </w:r>
          </w:p>
        </w:tc>
        <w:tc>
          <w:tcPr>
            <w:tcW w:w="171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34483582" w14:textId="77777777" w:rsidR="002033A5" w:rsidRPr="00E619C8" w:rsidRDefault="002033A5">
            <w:pPr>
              <w:spacing w:line="300" w:lineRule="auto"/>
              <w:rPr>
                <w:rFonts w:ascii="Arial" w:eastAsia="Arial" w:hAnsi="Arial" w:cs="Arial"/>
                <w:sz w:val="12"/>
                <w:szCs w:val="12"/>
              </w:rPr>
            </w:pPr>
          </w:p>
        </w:tc>
        <w:tc>
          <w:tcPr>
            <w:tcW w:w="855"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51397B51" w14:textId="77777777" w:rsidR="002033A5" w:rsidRPr="00E619C8" w:rsidRDefault="002033A5">
            <w:pPr>
              <w:spacing w:after="160" w:line="300" w:lineRule="auto"/>
              <w:rPr>
                <w:rFonts w:ascii="Arial" w:eastAsia="Arial" w:hAnsi="Arial" w:cs="Arial"/>
                <w:sz w:val="12"/>
                <w:szCs w:val="12"/>
              </w:rPr>
            </w:pPr>
          </w:p>
        </w:tc>
        <w:tc>
          <w:tcPr>
            <w:tcW w:w="195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253CAA05" w14:textId="77777777" w:rsidR="002033A5" w:rsidRPr="00E619C8" w:rsidRDefault="002033A5">
            <w:pPr>
              <w:spacing w:line="300" w:lineRule="auto"/>
              <w:rPr>
                <w:rFonts w:ascii="Arial" w:eastAsia="Arial" w:hAnsi="Arial" w:cs="Arial"/>
                <w:sz w:val="12"/>
                <w:szCs w:val="12"/>
              </w:rPr>
            </w:pPr>
          </w:p>
        </w:tc>
        <w:tc>
          <w:tcPr>
            <w:tcW w:w="90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23534242"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1.00</w:t>
            </w:r>
          </w:p>
        </w:tc>
        <w:tc>
          <w:tcPr>
            <w:tcW w:w="93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4C21998B" w14:textId="77777777" w:rsidR="002033A5" w:rsidRPr="00E619C8" w:rsidRDefault="002033A5">
            <w:pPr>
              <w:spacing w:after="160" w:line="300" w:lineRule="auto"/>
              <w:jc w:val="both"/>
              <w:rPr>
                <w:rFonts w:ascii="Arial" w:eastAsia="Arial" w:hAnsi="Arial" w:cs="Arial"/>
                <w:sz w:val="12"/>
                <w:szCs w:val="12"/>
              </w:rPr>
            </w:pPr>
          </w:p>
        </w:tc>
      </w:tr>
      <w:tr w:rsidR="002033A5" w:rsidRPr="00E619C8" w14:paraId="46057BF3" w14:textId="77777777">
        <w:trPr>
          <w:trHeight w:val="473"/>
        </w:trPr>
        <w:tc>
          <w:tcPr>
            <w:tcW w:w="690" w:type="dxa"/>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33D31125"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3.1.1</w:t>
            </w:r>
          </w:p>
        </w:tc>
        <w:tc>
          <w:tcPr>
            <w:tcW w:w="855"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434588C4"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Sub-variable</w:t>
            </w:r>
          </w:p>
        </w:tc>
        <w:tc>
          <w:tcPr>
            <w:tcW w:w="1140"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D9C9640"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Participation opportunities</w:t>
            </w:r>
          </w:p>
        </w:tc>
        <w:tc>
          <w:tcPr>
            <w:tcW w:w="171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B3D074A" w14:textId="68A58D22"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Assesses the formalisation of </w:t>
            </w:r>
            <w:r w:rsidR="00034D75">
              <w:rPr>
                <w:rFonts w:ascii="Arial" w:eastAsia="Arial" w:hAnsi="Arial" w:cs="Arial"/>
                <w:sz w:val="12"/>
                <w:szCs w:val="12"/>
              </w:rPr>
              <w:t>citizens'</w:t>
            </w:r>
            <w:r w:rsidRPr="00E619C8">
              <w:rPr>
                <w:rFonts w:ascii="Arial" w:eastAsia="Arial" w:hAnsi="Arial" w:cs="Arial"/>
                <w:sz w:val="12"/>
                <w:szCs w:val="12"/>
              </w:rPr>
              <w:t xml:space="preserve"> participation opportunities and online mechanisms to facilitate this participation.</w:t>
            </w:r>
          </w:p>
        </w:tc>
        <w:tc>
          <w:tcPr>
            <w:tcW w:w="855"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4F4D8D41" w14:textId="77777777" w:rsidR="002033A5" w:rsidRPr="00E619C8" w:rsidRDefault="002033A5">
            <w:pPr>
              <w:pBdr>
                <w:top w:val="nil"/>
                <w:left w:val="nil"/>
                <w:bottom w:val="nil"/>
                <w:right w:val="nil"/>
                <w:between w:val="nil"/>
              </w:pBdr>
              <w:spacing w:after="160" w:line="276" w:lineRule="auto"/>
              <w:rPr>
                <w:rFonts w:ascii="Arial" w:eastAsia="Arial" w:hAnsi="Arial" w:cs="Arial"/>
                <w:sz w:val="12"/>
                <w:szCs w:val="12"/>
              </w:rPr>
            </w:pPr>
          </w:p>
        </w:tc>
        <w:tc>
          <w:tcPr>
            <w:tcW w:w="195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6D30DB9D"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90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0666108C"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0.45</w:t>
            </w:r>
          </w:p>
        </w:tc>
        <w:tc>
          <w:tcPr>
            <w:tcW w:w="930"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14957DBD" w14:textId="77777777" w:rsidR="002033A5" w:rsidRPr="00E619C8" w:rsidRDefault="002033A5">
            <w:pPr>
              <w:spacing w:after="160" w:line="300" w:lineRule="auto"/>
              <w:jc w:val="both"/>
              <w:rPr>
                <w:rFonts w:ascii="Arial" w:eastAsia="Arial" w:hAnsi="Arial" w:cs="Arial"/>
                <w:sz w:val="12"/>
                <w:szCs w:val="12"/>
              </w:rPr>
            </w:pPr>
          </w:p>
        </w:tc>
      </w:tr>
      <w:tr w:rsidR="002033A5" w:rsidRPr="00E619C8" w14:paraId="7854F60F" w14:textId="77777777">
        <w:trPr>
          <w:trHeight w:val="278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B70ED45"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3.1.1.1</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164B61A9"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4EE51F4"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Citizen participation regulatory framework</w:t>
            </w:r>
          </w:p>
        </w:tc>
        <w:tc>
          <w:tcPr>
            <w:tcW w:w="1710" w:type="dxa"/>
            <w:tcBorders>
              <w:bottom w:val="single" w:sz="6" w:space="0" w:color="000000"/>
              <w:right w:val="single" w:sz="6" w:space="0" w:color="000000"/>
            </w:tcBorders>
            <w:tcMar>
              <w:top w:w="40" w:type="dxa"/>
              <w:left w:w="40" w:type="dxa"/>
              <w:bottom w:w="40" w:type="dxa"/>
              <w:right w:w="40" w:type="dxa"/>
            </w:tcMar>
          </w:tcPr>
          <w:p w14:paraId="25CAFB5F" w14:textId="08441A2D"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There are formal citizen participation opportunities based on </w:t>
            </w:r>
            <w:r w:rsidR="00034D75">
              <w:rPr>
                <w:rFonts w:ascii="Arial" w:eastAsia="Arial" w:hAnsi="Arial" w:cs="Arial"/>
                <w:sz w:val="12"/>
                <w:szCs w:val="12"/>
              </w:rPr>
              <w:t>the existing regulatory framework that allow the procuring entity to listen and implement requests from the citizens, which</w:t>
            </w:r>
            <w:r w:rsidRPr="00E619C8">
              <w:rPr>
                <w:rFonts w:ascii="Arial" w:eastAsia="Arial" w:hAnsi="Arial" w:cs="Arial"/>
                <w:sz w:val="12"/>
                <w:szCs w:val="12"/>
              </w:rPr>
              <w:t xml:space="preserve"> may be used for public infrastructure projects.</w:t>
            </w:r>
          </w:p>
        </w:tc>
        <w:tc>
          <w:tcPr>
            <w:tcW w:w="855" w:type="dxa"/>
            <w:tcBorders>
              <w:bottom w:val="single" w:sz="6" w:space="0" w:color="000000"/>
              <w:right w:val="single" w:sz="6" w:space="0" w:color="000000"/>
            </w:tcBorders>
            <w:tcMar>
              <w:top w:w="40" w:type="dxa"/>
              <w:left w:w="40" w:type="dxa"/>
              <w:bottom w:w="40" w:type="dxa"/>
              <w:right w:w="40" w:type="dxa"/>
            </w:tcMar>
          </w:tcPr>
          <w:p w14:paraId="771A3D68"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44B2AD13"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are no laws, regulations, or policies that can be used as foundation for citizens participation; 2 = There is only a national or sub-national regulatory framework for participation, with no internal (institutional) framework; 3 = There are both, external and internal frameworks for participation; 5 = There are both external and internal frameworks and there are also efficient documented procedures for citizens’ participation.</w:t>
            </w:r>
          </w:p>
        </w:tc>
        <w:tc>
          <w:tcPr>
            <w:tcW w:w="900" w:type="dxa"/>
            <w:tcBorders>
              <w:bottom w:val="single" w:sz="6" w:space="0" w:color="000000"/>
              <w:right w:val="single" w:sz="6" w:space="0" w:color="000000"/>
            </w:tcBorders>
            <w:tcMar>
              <w:top w:w="40" w:type="dxa"/>
              <w:left w:w="40" w:type="dxa"/>
              <w:bottom w:w="40" w:type="dxa"/>
              <w:right w:w="40" w:type="dxa"/>
            </w:tcMar>
          </w:tcPr>
          <w:p w14:paraId="15A69A21"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3373B0DE"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5BF43FC9" w14:textId="77777777">
        <w:trPr>
          <w:trHeight w:val="192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E708D3D"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3.1.1.2</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6EE75DA9"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D010A04"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Permanent and inclusive citizen participation</w:t>
            </w:r>
          </w:p>
        </w:tc>
        <w:tc>
          <w:tcPr>
            <w:tcW w:w="1710" w:type="dxa"/>
            <w:tcBorders>
              <w:bottom w:val="single" w:sz="6" w:space="0" w:color="000000"/>
              <w:right w:val="single" w:sz="6" w:space="0" w:color="000000"/>
            </w:tcBorders>
            <w:tcMar>
              <w:top w:w="40" w:type="dxa"/>
              <w:left w:w="40" w:type="dxa"/>
              <w:bottom w:w="40" w:type="dxa"/>
              <w:right w:w="40" w:type="dxa"/>
            </w:tcMar>
          </w:tcPr>
          <w:p w14:paraId="6BEA0B66" w14:textId="04D248AB"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The </w:t>
            </w:r>
            <w:r w:rsidR="00034D75">
              <w:rPr>
                <w:rFonts w:ascii="Arial" w:eastAsia="Arial" w:hAnsi="Arial" w:cs="Arial"/>
                <w:sz w:val="12"/>
                <w:szCs w:val="12"/>
              </w:rPr>
              <w:t>citizens'</w:t>
            </w:r>
            <w:r w:rsidRPr="00E619C8">
              <w:rPr>
                <w:rFonts w:ascii="Arial" w:eastAsia="Arial" w:hAnsi="Arial" w:cs="Arial"/>
                <w:sz w:val="12"/>
                <w:szCs w:val="12"/>
              </w:rPr>
              <w:t xml:space="preserve"> participation opportunities (instruments of </w:t>
            </w:r>
            <w:r w:rsidR="000A600E">
              <w:rPr>
                <w:rFonts w:ascii="Arial" w:eastAsia="Arial" w:hAnsi="Arial" w:cs="Arial"/>
                <w:sz w:val="12"/>
                <w:szCs w:val="12"/>
              </w:rPr>
              <w:t>citizens'</w:t>
            </w:r>
            <w:r w:rsidRPr="00E619C8">
              <w:rPr>
                <w:rFonts w:ascii="Arial" w:eastAsia="Arial" w:hAnsi="Arial" w:cs="Arial"/>
                <w:sz w:val="12"/>
                <w:szCs w:val="12"/>
              </w:rPr>
              <w:t xml:space="preserve"> engagement) are permanently available or are available with a constant periodicity through a variety of inclusive channels (such as digital and non-digital), that may be used for public infrastructure projects.</w:t>
            </w:r>
          </w:p>
        </w:tc>
        <w:tc>
          <w:tcPr>
            <w:tcW w:w="855" w:type="dxa"/>
            <w:tcBorders>
              <w:bottom w:val="single" w:sz="6" w:space="0" w:color="000000"/>
              <w:right w:val="single" w:sz="6" w:space="0" w:color="000000"/>
            </w:tcBorders>
            <w:tcMar>
              <w:top w:w="40" w:type="dxa"/>
              <w:left w:w="40" w:type="dxa"/>
              <w:bottom w:w="40" w:type="dxa"/>
              <w:right w:w="40" w:type="dxa"/>
            </w:tcMar>
          </w:tcPr>
          <w:p w14:paraId="0CC440FE"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5FFE0A31" w14:textId="3BCBC8FB"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0 = There are no formal participation opportunities; 2 = There are participation opportunities, but </w:t>
            </w:r>
            <w:r w:rsidR="00034D75">
              <w:rPr>
                <w:rFonts w:ascii="Arial" w:eastAsia="Arial" w:hAnsi="Arial" w:cs="Arial"/>
                <w:sz w:val="12"/>
                <w:szCs w:val="12"/>
              </w:rPr>
              <w:t xml:space="preserve">they </w:t>
            </w:r>
            <w:r w:rsidRPr="00E619C8">
              <w:rPr>
                <w:rFonts w:ascii="Arial" w:eastAsia="Arial" w:hAnsi="Arial" w:cs="Arial"/>
                <w:sz w:val="12"/>
                <w:szCs w:val="12"/>
              </w:rPr>
              <w:t>are not permanent and are not available through a variety of inclusive channels; 3 = Participation opportunities are either permanent or available through a variety of inclusive channels; 5 = Participation spaces are both permanent and available throughout different participation inclusive channels.</w:t>
            </w:r>
          </w:p>
        </w:tc>
        <w:tc>
          <w:tcPr>
            <w:tcW w:w="900" w:type="dxa"/>
            <w:tcBorders>
              <w:bottom w:val="single" w:sz="6" w:space="0" w:color="000000"/>
              <w:right w:val="single" w:sz="6" w:space="0" w:color="000000"/>
            </w:tcBorders>
            <w:tcMar>
              <w:top w:w="40" w:type="dxa"/>
              <w:left w:w="40" w:type="dxa"/>
              <w:bottom w:w="40" w:type="dxa"/>
              <w:right w:w="40" w:type="dxa"/>
            </w:tcMar>
          </w:tcPr>
          <w:p w14:paraId="2FD9E34D"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54F1D138"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4BA949A4" w14:textId="77777777">
        <w:trPr>
          <w:trHeight w:val="210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43FF82E"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3.1.1.3</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6520E7B5"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A65F348"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Citizen participation in infrastructure projects</w:t>
            </w:r>
          </w:p>
        </w:tc>
        <w:tc>
          <w:tcPr>
            <w:tcW w:w="1710" w:type="dxa"/>
            <w:tcBorders>
              <w:bottom w:val="single" w:sz="6" w:space="0" w:color="000000"/>
              <w:right w:val="single" w:sz="6" w:space="0" w:color="000000"/>
            </w:tcBorders>
            <w:tcMar>
              <w:top w:w="40" w:type="dxa"/>
              <w:left w:w="40" w:type="dxa"/>
              <w:bottom w:w="40" w:type="dxa"/>
              <w:right w:w="40" w:type="dxa"/>
            </w:tcMar>
          </w:tcPr>
          <w:p w14:paraId="7432D38A" w14:textId="76518335"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The entity conducts formal citizen consultation processes to identify, define, </w:t>
            </w:r>
            <w:r w:rsidR="00034D75">
              <w:rPr>
                <w:rFonts w:ascii="Arial" w:eastAsia="Arial" w:hAnsi="Arial" w:cs="Arial"/>
                <w:sz w:val="12"/>
                <w:szCs w:val="12"/>
              </w:rPr>
              <w:t>prioritise,</w:t>
            </w:r>
            <w:r w:rsidRPr="00E619C8">
              <w:rPr>
                <w:rFonts w:ascii="Arial" w:eastAsia="Arial" w:hAnsi="Arial" w:cs="Arial"/>
                <w:sz w:val="12"/>
                <w:szCs w:val="12"/>
              </w:rPr>
              <w:t xml:space="preserve"> and monitor public infrastructure projects.</w:t>
            </w:r>
          </w:p>
        </w:tc>
        <w:tc>
          <w:tcPr>
            <w:tcW w:w="855" w:type="dxa"/>
            <w:tcBorders>
              <w:bottom w:val="single" w:sz="6" w:space="0" w:color="000000"/>
              <w:right w:val="single" w:sz="6" w:space="0" w:color="000000"/>
            </w:tcBorders>
            <w:tcMar>
              <w:top w:w="40" w:type="dxa"/>
              <w:left w:w="40" w:type="dxa"/>
              <w:bottom w:w="40" w:type="dxa"/>
              <w:right w:w="40" w:type="dxa"/>
            </w:tcMar>
          </w:tcPr>
          <w:p w14:paraId="5CEA52C9"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2476DA63"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 entity does not conduct these consultation processes on infrastructure projects, or the officer is not sure if they do them; 2 = The entity has consultation in infrastructure projects, but is not for all project stages and is not for all projects; 3 = The entity has consultation in infrastructure projects in all project stages, but is not applied to all infrastructure projects, or the opposite; 5 = The consultation applies to all infrastructure project stages and to all infrastructure projects.</w:t>
            </w:r>
          </w:p>
        </w:tc>
        <w:tc>
          <w:tcPr>
            <w:tcW w:w="900" w:type="dxa"/>
            <w:tcBorders>
              <w:bottom w:val="single" w:sz="6" w:space="0" w:color="000000"/>
              <w:right w:val="single" w:sz="6" w:space="0" w:color="000000"/>
            </w:tcBorders>
            <w:tcMar>
              <w:top w:w="40" w:type="dxa"/>
              <w:left w:w="40" w:type="dxa"/>
              <w:bottom w:w="40" w:type="dxa"/>
              <w:right w:w="40" w:type="dxa"/>
            </w:tcMar>
          </w:tcPr>
          <w:p w14:paraId="7EA4DAFB"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1571D948"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724A04BA" w14:textId="77777777">
        <w:trPr>
          <w:trHeight w:val="40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87AF20B"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3.1.1.4</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5FA46530"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0CAD06F"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Citizen attention office</w:t>
            </w:r>
          </w:p>
        </w:tc>
        <w:tc>
          <w:tcPr>
            <w:tcW w:w="1710" w:type="dxa"/>
            <w:tcBorders>
              <w:bottom w:val="single" w:sz="6" w:space="0" w:color="000000"/>
              <w:right w:val="single" w:sz="6" w:space="0" w:color="000000"/>
            </w:tcBorders>
            <w:tcMar>
              <w:top w:w="40" w:type="dxa"/>
              <w:left w:w="40" w:type="dxa"/>
              <w:bottom w:w="40" w:type="dxa"/>
              <w:right w:w="40" w:type="dxa"/>
            </w:tcMar>
          </w:tcPr>
          <w:p w14:paraId="3FAAFEAD"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There is in the entity an office for citizen service (called the Transparency Office, Complaints Office, Information Office, etc.) that can see, online and offline, subjects related to infrastructure projects.</w:t>
            </w:r>
          </w:p>
        </w:tc>
        <w:tc>
          <w:tcPr>
            <w:tcW w:w="855" w:type="dxa"/>
            <w:tcBorders>
              <w:bottom w:val="single" w:sz="6" w:space="0" w:color="000000"/>
              <w:right w:val="single" w:sz="6" w:space="0" w:color="000000"/>
            </w:tcBorders>
            <w:tcMar>
              <w:top w:w="40" w:type="dxa"/>
              <w:left w:w="40" w:type="dxa"/>
              <w:bottom w:w="40" w:type="dxa"/>
              <w:right w:w="40" w:type="dxa"/>
            </w:tcMar>
          </w:tcPr>
          <w:p w14:paraId="1DF91036"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76EFA787" w14:textId="7545CF83"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office, or the officer is not sure if there is one; 3 = There is one</w:t>
            </w:r>
            <w:r w:rsidR="00034D75">
              <w:rPr>
                <w:rFonts w:ascii="Arial" w:eastAsia="Arial" w:hAnsi="Arial" w:cs="Arial"/>
                <w:sz w:val="12"/>
                <w:szCs w:val="12"/>
              </w:rPr>
              <w:t>, but it has limitations to serve the citizens (e.g. only works offline); 5 = There is one,</w:t>
            </w:r>
            <w:r w:rsidRPr="00E619C8">
              <w:rPr>
                <w:rFonts w:ascii="Arial" w:eastAsia="Arial" w:hAnsi="Arial" w:cs="Arial"/>
                <w:sz w:val="12"/>
                <w:szCs w:val="12"/>
              </w:rPr>
              <w:t xml:space="preserve"> and it serves citizens efficiently.</w:t>
            </w:r>
          </w:p>
        </w:tc>
        <w:tc>
          <w:tcPr>
            <w:tcW w:w="900" w:type="dxa"/>
            <w:tcBorders>
              <w:bottom w:val="single" w:sz="6" w:space="0" w:color="000000"/>
              <w:right w:val="single" w:sz="6" w:space="0" w:color="000000"/>
            </w:tcBorders>
            <w:tcMar>
              <w:top w:w="40" w:type="dxa"/>
              <w:left w:w="40" w:type="dxa"/>
              <w:bottom w:w="40" w:type="dxa"/>
              <w:right w:w="40" w:type="dxa"/>
            </w:tcMar>
          </w:tcPr>
          <w:p w14:paraId="62FAE3EC"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4E06B491"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031AC2EB" w14:textId="77777777">
        <w:trPr>
          <w:trHeight w:val="154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A43C8C"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3.1.1.5</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63B38CC4"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7A2C2719"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Online engagement form</w:t>
            </w:r>
          </w:p>
        </w:tc>
        <w:tc>
          <w:tcPr>
            <w:tcW w:w="1710" w:type="dxa"/>
            <w:tcBorders>
              <w:bottom w:val="single" w:sz="6" w:space="0" w:color="000000"/>
              <w:right w:val="single" w:sz="6" w:space="0" w:color="000000"/>
            </w:tcBorders>
            <w:tcMar>
              <w:top w:w="40" w:type="dxa"/>
              <w:left w:w="40" w:type="dxa"/>
              <w:bottom w:w="40" w:type="dxa"/>
              <w:right w:w="40" w:type="dxa"/>
            </w:tcMar>
          </w:tcPr>
          <w:p w14:paraId="0AE4D981"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There is an online form by which any person may request information, perform a consultation, or present a complaint or a recommendation referring to an infrastructure project and receive an effective response.</w:t>
            </w:r>
          </w:p>
        </w:tc>
        <w:tc>
          <w:tcPr>
            <w:tcW w:w="855" w:type="dxa"/>
            <w:tcBorders>
              <w:bottom w:val="single" w:sz="6" w:space="0" w:color="000000"/>
              <w:right w:val="single" w:sz="6" w:space="0" w:color="000000"/>
            </w:tcBorders>
            <w:tcMar>
              <w:top w:w="40" w:type="dxa"/>
              <w:left w:w="40" w:type="dxa"/>
              <w:bottom w:w="40" w:type="dxa"/>
              <w:right w:w="40" w:type="dxa"/>
            </w:tcMar>
          </w:tcPr>
          <w:p w14:paraId="0878E13D"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20659D8E"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 entity does not have an online form, or has one that does not work; 2 = It has one but has to be downloaded, printed, completed and scanned or physically taken to the entity; 3 = The entity does have an online form but without a follow-up mechanisms (such as request identity number); 5 = The online form has a specific follow-up mechanism for the applicant.</w:t>
            </w:r>
          </w:p>
        </w:tc>
        <w:tc>
          <w:tcPr>
            <w:tcW w:w="900" w:type="dxa"/>
            <w:tcBorders>
              <w:bottom w:val="single" w:sz="6" w:space="0" w:color="000000"/>
              <w:right w:val="single" w:sz="6" w:space="0" w:color="000000"/>
            </w:tcBorders>
            <w:tcMar>
              <w:top w:w="40" w:type="dxa"/>
              <w:left w:w="40" w:type="dxa"/>
              <w:bottom w:w="40" w:type="dxa"/>
              <w:right w:w="40" w:type="dxa"/>
            </w:tcMar>
          </w:tcPr>
          <w:p w14:paraId="755A137E"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1BAAD0D9"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0AD6F871" w14:textId="77777777">
        <w:trPr>
          <w:trHeight w:val="105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4B459AF"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3.1.1.6</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05E15DC8"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1D7658C"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Promotion of participation opportunities</w:t>
            </w:r>
          </w:p>
        </w:tc>
        <w:tc>
          <w:tcPr>
            <w:tcW w:w="1710" w:type="dxa"/>
            <w:tcBorders>
              <w:bottom w:val="single" w:sz="6" w:space="0" w:color="000000"/>
              <w:right w:val="single" w:sz="6" w:space="0" w:color="000000"/>
            </w:tcBorders>
            <w:tcMar>
              <w:top w:w="40" w:type="dxa"/>
              <w:left w:w="40" w:type="dxa"/>
              <w:bottom w:w="40" w:type="dxa"/>
              <w:right w:w="40" w:type="dxa"/>
            </w:tcMar>
          </w:tcPr>
          <w:p w14:paraId="2F5F85ED" w14:textId="3570FED2"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The institution makes an effort to ensure that citizens are aware of existing participation opportunities and of the availability of information related </w:t>
            </w:r>
            <w:r w:rsidR="00034D75">
              <w:rPr>
                <w:rFonts w:ascii="Arial" w:eastAsia="Arial" w:hAnsi="Arial" w:cs="Arial"/>
                <w:sz w:val="12"/>
                <w:szCs w:val="12"/>
              </w:rPr>
              <w:t xml:space="preserve">to </w:t>
            </w:r>
            <w:r w:rsidRPr="00E619C8">
              <w:rPr>
                <w:rFonts w:ascii="Arial" w:eastAsia="Arial" w:hAnsi="Arial" w:cs="Arial"/>
                <w:sz w:val="12"/>
                <w:szCs w:val="12"/>
              </w:rPr>
              <w:t>infrastructure projects.</w:t>
            </w:r>
          </w:p>
        </w:tc>
        <w:tc>
          <w:tcPr>
            <w:tcW w:w="855" w:type="dxa"/>
            <w:tcBorders>
              <w:bottom w:val="single" w:sz="6" w:space="0" w:color="000000"/>
              <w:right w:val="single" w:sz="6" w:space="0" w:color="000000"/>
            </w:tcBorders>
            <w:tcMar>
              <w:top w:w="40" w:type="dxa"/>
              <w:left w:w="40" w:type="dxa"/>
              <w:bottom w:w="40" w:type="dxa"/>
              <w:right w:w="40" w:type="dxa"/>
            </w:tcMar>
          </w:tcPr>
          <w:p w14:paraId="7EA1954F"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17E9EB17"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 entity does not make any effort, or the officer does not know if it has; 3 = The entity makes an effort but not in a consistent, permanent and/or inclusive manner; 5 = Makes consistent, permanent and inclusive efforts for both things.</w:t>
            </w:r>
          </w:p>
        </w:tc>
        <w:tc>
          <w:tcPr>
            <w:tcW w:w="900" w:type="dxa"/>
            <w:tcBorders>
              <w:bottom w:val="single" w:sz="6" w:space="0" w:color="000000"/>
              <w:right w:val="single" w:sz="6" w:space="0" w:color="000000"/>
            </w:tcBorders>
            <w:tcMar>
              <w:top w:w="40" w:type="dxa"/>
              <w:left w:w="40" w:type="dxa"/>
              <w:bottom w:w="40" w:type="dxa"/>
              <w:right w:w="40" w:type="dxa"/>
            </w:tcMar>
          </w:tcPr>
          <w:p w14:paraId="03ECA0B5"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27DE00F1"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7D5E6F50" w14:textId="77777777">
        <w:trPr>
          <w:trHeight w:val="848"/>
        </w:trPr>
        <w:tc>
          <w:tcPr>
            <w:tcW w:w="690" w:type="dxa"/>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7405C730"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3.1.2</w:t>
            </w:r>
          </w:p>
        </w:tc>
        <w:tc>
          <w:tcPr>
            <w:tcW w:w="855"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1CB768DC"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Sub-variable</w:t>
            </w:r>
          </w:p>
        </w:tc>
        <w:tc>
          <w:tcPr>
            <w:tcW w:w="1140"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433E9378"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Use of information by citizens</w:t>
            </w:r>
          </w:p>
        </w:tc>
        <w:tc>
          <w:tcPr>
            <w:tcW w:w="1710" w:type="dxa"/>
            <w:tcBorders>
              <w:bottom w:val="single" w:sz="6" w:space="0" w:color="000000"/>
              <w:right w:val="single" w:sz="6" w:space="0" w:color="000000"/>
            </w:tcBorders>
            <w:shd w:val="clear" w:color="auto" w:fill="D9D9D9"/>
            <w:tcMar>
              <w:top w:w="40" w:type="dxa"/>
              <w:left w:w="40" w:type="dxa"/>
              <w:bottom w:w="40" w:type="dxa"/>
              <w:right w:w="40" w:type="dxa"/>
            </w:tcMar>
          </w:tcPr>
          <w:p w14:paraId="52AC2A60"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Assesses the use of information related to infrastructure projects by citizens, stemming from case evidence.</w:t>
            </w:r>
          </w:p>
        </w:tc>
        <w:tc>
          <w:tcPr>
            <w:tcW w:w="855" w:type="dxa"/>
            <w:tcBorders>
              <w:bottom w:val="single" w:sz="6" w:space="0" w:color="000000"/>
              <w:right w:val="single" w:sz="6" w:space="0" w:color="000000"/>
            </w:tcBorders>
            <w:shd w:val="clear" w:color="auto" w:fill="D9D9D9"/>
            <w:tcMar>
              <w:top w:w="40" w:type="dxa"/>
              <w:left w:w="40" w:type="dxa"/>
              <w:bottom w:w="40" w:type="dxa"/>
              <w:right w:w="40" w:type="dxa"/>
            </w:tcMar>
          </w:tcPr>
          <w:p w14:paraId="31E27F2A" w14:textId="77777777" w:rsidR="002033A5" w:rsidRPr="00E619C8" w:rsidRDefault="002033A5">
            <w:pPr>
              <w:pBdr>
                <w:top w:val="nil"/>
                <w:left w:val="nil"/>
                <w:bottom w:val="nil"/>
                <w:right w:val="nil"/>
                <w:between w:val="nil"/>
              </w:pBdr>
              <w:spacing w:after="160" w:line="276" w:lineRule="auto"/>
              <w:rPr>
                <w:rFonts w:ascii="Arial" w:eastAsia="Arial" w:hAnsi="Arial" w:cs="Arial"/>
                <w:sz w:val="12"/>
                <w:szCs w:val="12"/>
              </w:rPr>
            </w:pPr>
          </w:p>
        </w:tc>
        <w:tc>
          <w:tcPr>
            <w:tcW w:w="1950" w:type="dxa"/>
            <w:tcBorders>
              <w:bottom w:val="single" w:sz="6" w:space="0" w:color="000000"/>
              <w:right w:val="single" w:sz="6" w:space="0" w:color="000000"/>
            </w:tcBorders>
            <w:shd w:val="clear" w:color="auto" w:fill="D9D9D9"/>
            <w:tcMar>
              <w:top w:w="40" w:type="dxa"/>
              <w:left w:w="40" w:type="dxa"/>
              <w:bottom w:w="40" w:type="dxa"/>
              <w:right w:w="40" w:type="dxa"/>
            </w:tcMar>
          </w:tcPr>
          <w:p w14:paraId="59354360"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900" w:type="dxa"/>
            <w:tcBorders>
              <w:bottom w:val="single" w:sz="6" w:space="0" w:color="000000"/>
              <w:right w:val="single" w:sz="6" w:space="0" w:color="000000"/>
            </w:tcBorders>
            <w:shd w:val="clear" w:color="auto" w:fill="D9D9D9"/>
            <w:tcMar>
              <w:top w:w="40" w:type="dxa"/>
              <w:left w:w="40" w:type="dxa"/>
              <w:bottom w:w="40" w:type="dxa"/>
              <w:right w:w="40" w:type="dxa"/>
            </w:tcMar>
          </w:tcPr>
          <w:p w14:paraId="6B66A0E6"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0.55</w:t>
            </w:r>
          </w:p>
        </w:tc>
        <w:tc>
          <w:tcPr>
            <w:tcW w:w="930"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5B378E64" w14:textId="77777777" w:rsidR="002033A5" w:rsidRPr="00E619C8" w:rsidRDefault="002033A5">
            <w:pPr>
              <w:spacing w:after="160" w:line="300" w:lineRule="auto"/>
              <w:jc w:val="both"/>
              <w:rPr>
                <w:rFonts w:ascii="Arial" w:eastAsia="Arial" w:hAnsi="Arial" w:cs="Arial"/>
                <w:sz w:val="12"/>
                <w:szCs w:val="12"/>
              </w:rPr>
            </w:pPr>
          </w:p>
        </w:tc>
      </w:tr>
      <w:tr w:rsidR="002033A5" w:rsidRPr="00E619C8" w14:paraId="309B39A4" w14:textId="77777777">
        <w:trPr>
          <w:trHeight w:val="160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AE139DD"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3.1.2.1</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1D75990C"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37D18F5"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Actions from citizen complaints</w:t>
            </w:r>
          </w:p>
        </w:tc>
        <w:tc>
          <w:tcPr>
            <w:tcW w:w="1710" w:type="dxa"/>
            <w:tcBorders>
              <w:bottom w:val="single" w:sz="6" w:space="0" w:color="000000"/>
              <w:right w:val="single" w:sz="6" w:space="0" w:color="000000"/>
            </w:tcBorders>
            <w:tcMar>
              <w:top w:w="40" w:type="dxa"/>
              <w:left w:w="40" w:type="dxa"/>
              <w:bottom w:w="40" w:type="dxa"/>
              <w:right w:w="40" w:type="dxa"/>
            </w:tcMar>
          </w:tcPr>
          <w:p w14:paraId="3133404D"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There is a mechanism that documents citizens’ complaints related to public infrastructure projects, generates a log, manages responses in an orderly fashion, and reports what actions were taken.</w:t>
            </w:r>
          </w:p>
        </w:tc>
        <w:tc>
          <w:tcPr>
            <w:tcW w:w="855" w:type="dxa"/>
            <w:tcBorders>
              <w:bottom w:val="single" w:sz="6" w:space="0" w:color="000000"/>
              <w:right w:val="single" w:sz="6" w:space="0" w:color="000000"/>
            </w:tcBorders>
            <w:tcMar>
              <w:top w:w="40" w:type="dxa"/>
              <w:left w:w="40" w:type="dxa"/>
              <w:bottom w:w="40" w:type="dxa"/>
              <w:right w:w="40" w:type="dxa"/>
            </w:tcMar>
          </w:tcPr>
          <w:p w14:paraId="1636A6E3"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49AD0EEF"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centralisation of citizens’ complaints, or there is no evidence of its existence; 2 = There is one, but it does not work optimally; 3 = There is one, it works optimally, but it does not generate of a report with actions that were taken for specific infrastructure projects; 5 = It exists, works optimally and reports the actions that we take on specific infrastructure projects.</w:t>
            </w:r>
          </w:p>
        </w:tc>
        <w:tc>
          <w:tcPr>
            <w:tcW w:w="900" w:type="dxa"/>
            <w:tcBorders>
              <w:bottom w:val="single" w:sz="6" w:space="0" w:color="000000"/>
              <w:right w:val="single" w:sz="6" w:space="0" w:color="000000"/>
            </w:tcBorders>
            <w:tcMar>
              <w:top w:w="40" w:type="dxa"/>
              <w:left w:w="40" w:type="dxa"/>
              <w:bottom w:w="40" w:type="dxa"/>
              <w:right w:w="40" w:type="dxa"/>
            </w:tcMar>
          </w:tcPr>
          <w:p w14:paraId="0F22B0B5"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40E1C6FA"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059CC159" w14:textId="77777777">
        <w:trPr>
          <w:trHeight w:val="273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DFF13BB"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3.3.2.2</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4DA4CDE4"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467B7F51"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Access to information performance</w:t>
            </w:r>
          </w:p>
        </w:tc>
        <w:tc>
          <w:tcPr>
            <w:tcW w:w="1710" w:type="dxa"/>
            <w:tcBorders>
              <w:bottom w:val="single" w:sz="6" w:space="0" w:color="000000"/>
              <w:right w:val="single" w:sz="6" w:space="0" w:color="000000"/>
            </w:tcBorders>
            <w:tcMar>
              <w:top w:w="40" w:type="dxa"/>
              <w:left w:w="40" w:type="dxa"/>
              <w:bottom w:w="40" w:type="dxa"/>
              <w:right w:w="40" w:type="dxa"/>
            </w:tcMar>
          </w:tcPr>
          <w:p w14:paraId="0AD017F4" w14:textId="2B82DCE8"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Access-to-information requests and responses are </w:t>
            </w:r>
            <w:r w:rsidR="00034D75">
              <w:rPr>
                <w:rFonts w:ascii="Arial" w:eastAsia="Arial" w:hAnsi="Arial" w:cs="Arial"/>
                <w:sz w:val="12"/>
                <w:szCs w:val="12"/>
              </w:rPr>
              <w:t>categorised</w:t>
            </w:r>
            <w:r w:rsidRPr="00E619C8">
              <w:rPr>
                <w:rFonts w:ascii="Arial" w:eastAsia="Arial" w:hAnsi="Arial" w:cs="Arial"/>
                <w:sz w:val="12"/>
                <w:szCs w:val="12"/>
              </w:rPr>
              <w:t xml:space="preserve"> and recorded, and generate metrics of the entity’s performance.</w:t>
            </w:r>
          </w:p>
        </w:tc>
        <w:tc>
          <w:tcPr>
            <w:tcW w:w="855" w:type="dxa"/>
            <w:tcBorders>
              <w:bottom w:val="single" w:sz="6" w:space="0" w:color="000000"/>
              <w:right w:val="single" w:sz="6" w:space="0" w:color="000000"/>
            </w:tcBorders>
            <w:tcMar>
              <w:top w:w="40" w:type="dxa"/>
              <w:left w:w="40" w:type="dxa"/>
              <w:bottom w:w="40" w:type="dxa"/>
              <w:right w:w="40" w:type="dxa"/>
            </w:tcMar>
          </w:tcPr>
          <w:p w14:paraId="6C3390BA"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11442C67"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 officer cannot show how many requests were there, or there is no record of requests; 3 = The officer can show how many requests and how many responses were there, but with no specific categorisation and/or performance analysis; 5 = The officer can show how many of the total responses were positive (that is, containing the information requested by the citizens), how many were referred to other agencies (because they were the wrong agency) and how many requests were about the same information, with the responses performance metrics.</w:t>
            </w:r>
          </w:p>
        </w:tc>
        <w:tc>
          <w:tcPr>
            <w:tcW w:w="900" w:type="dxa"/>
            <w:tcBorders>
              <w:bottom w:val="single" w:sz="6" w:space="0" w:color="000000"/>
              <w:right w:val="single" w:sz="6" w:space="0" w:color="000000"/>
            </w:tcBorders>
            <w:tcMar>
              <w:top w:w="40" w:type="dxa"/>
              <w:left w:w="40" w:type="dxa"/>
              <w:bottom w:w="40" w:type="dxa"/>
              <w:right w:w="40" w:type="dxa"/>
            </w:tcMar>
          </w:tcPr>
          <w:p w14:paraId="7F68366B"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5BFCA041"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42E23712" w14:textId="77777777">
        <w:trPr>
          <w:trHeight w:val="2231"/>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9B21DBD"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3.3.2.3</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712BD484"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984CBA2"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Institutional response capacity</w:t>
            </w:r>
          </w:p>
        </w:tc>
        <w:tc>
          <w:tcPr>
            <w:tcW w:w="1710" w:type="dxa"/>
            <w:tcBorders>
              <w:bottom w:val="single" w:sz="6" w:space="0" w:color="000000"/>
              <w:right w:val="single" w:sz="6" w:space="0" w:color="000000"/>
            </w:tcBorders>
            <w:tcMar>
              <w:top w:w="40" w:type="dxa"/>
              <w:left w:w="40" w:type="dxa"/>
              <w:bottom w:w="40" w:type="dxa"/>
              <w:right w:w="40" w:type="dxa"/>
            </w:tcMar>
          </w:tcPr>
          <w:p w14:paraId="3684CD1C"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response to citizens’ access-to-information requests is provided according to the period established by the regulatory framework.</w:t>
            </w:r>
          </w:p>
        </w:tc>
        <w:tc>
          <w:tcPr>
            <w:tcW w:w="855" w:type="dxa"/>
            <w:tcBorders>
              <w:bottom w:val="single" w:sz="6" w:space="0" w:color="000000"/>
              <w:right w:val="single" w:sz="6" w:space="0" w:color="000000"/>
            </w:tcBorders>
            <w:tcMar>
              <w:top w:w="40" w:type="dxa"/>
              <w:left w:w="40" w:type="dxa"/>
              <w:bottom w:w="40" w:type="dxa"/>
              <w:right w:w="40" w:type="dxa"/>
            </w:tcMar>
          </w:tcPr>
          <w:p w14:paraId="1FBD7B0C"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432646F6"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capacity of response in the period established by the regulatory framework, or there is no control over the response time, or there is no information about requests; 2 = Only some cases receive response within the established period; 4 = Most cases are responded within the established period; 5 = 100% of cases are responded to within the period established by the regulatory framework.</w:t>
            </w:r>
          </w:p>
        </w:tc>
        <w:tc>
          <w:tcPr>
            <w:tcW w:w="900" w:type="dxa"/>
            <w:tcBorders>
              <w:bottom w:val="single" w:sz="6" w:space="0" w:color="000000"/>
              <w:right w:val="single" w:sz="6" w:space="0" w:color="000000"/>
            </w:tcBorders>
            <w:tcMar>
              <w:top w:w="40" w:type="dxa"/>
              <w:left w:w="40" w:type="dxa"/>
              <w:bottom w:w="40" w:type="dxa"/>
              <w:right w:w="40" w:type="dxa"/>
            </w:tcMar>
          </w:tcPr>
          <w:p w14:paraId="2E7D2FC6"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139E81B2"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51E3DCBF" w14:textId="77777777">
        <w:trPr>
          <w:trHeight w:val="189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B678A39"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3.3.2.4</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4E2EA0FF"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6DE32CE0" w14:textId="2EA82D8D"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 xml:space="preserve">Institutional use </w:t>
            </w:r>
            <w:r w:rsidR="00034D75">
              <w:rPr>
                <w:rFonts w:ascii="Arial" w:eastAsia="Arial" w:hAnsi="Arial" w:cs="Arial"/>
                <w:sz w:val="12"/>
                <w:szCs w:val="12"/>
              </w:rPr>
              <w:t xml:space="preserve">of </w:t>
            </w:r>
            <w:r w:rsidRPr="00E619C8">
              <w:rPr>
                <w:rFonts w:ascii="Arial" w:eastAsia="Arial" w:hAnsi="Arial" w:cs="Arial"/>
                <w:sz w:val="12"/>
                <w:szCs w:val="12"/>
              </w:rPr>
              <w:t>evidence</w:t>
            </w:r>
          </w:p>
        </w:tc>
        <w:tc>
          <w:tcPr>
            <w:tcW w:w="1710" w:type="dxa"/>
            <w:tcBorders>
              <w:bottom w:val="single" w:sz="6" w:space="0" w:color="000000"/>
              <w:right w:val="single" w:sz="6" w:space="0" w:color="000000"/>
            </w:tcBorders>
            <w:tcMar>
              <w:top w:w="40" w:type="dxa"/>
              <w:left w:w="40" w:type="dxa"/>
              <w:bottom w:w="40" w:type="dxa"/>
              <w:right w:w="40" w:type="dxa"/>
            </w:tcMar>
          </w:tcPr>
          <w:p w14:paraId="3F3D9033"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institution provides the public with feedback, such as reports or announcements, on how citizens’ inputs have been used in infrastructure projects.</w:t>
            </w:r>
          </w:p>
        </w:tc>
        <w:tc>
          <w:tcPr>
            <w:tcW w:w="855" w:type="dxa"/>
            <w:tcBorders>
              <w:bottom w:val="single" w:sz="6" w:space="0" w:color="000000"/>
              <w:right w:val="single" w:sz="6" w:space="0" w:color="000000"/>
            </w:tcBorders>
            <w:tcMar>
              <w:top w:w="40" w:type="dxa"/>
              <w:left w:w="40" w:type="dxa"/>
              <w:bottom w:w="40" w:type="dxa"/>
              <w:right w:w="40" w:type="dxa"/>
            </w:tcMar>
          </w:tcPr>
          <w:p w14:paraId="37D1D3E9"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07BB7441"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feedback made public, or it is not known if there is internal use of citizens participation; 2 = There is internal use of citizens participation that can be referenced, but is not well documented; 3 = There is internal use and is documented, but not made public; 5 = The internal documented use of citizens participation in infrastructure projects is made public.</w:t>
            </w:r>
          </w:p>
        </w:tc>
        <w:tc>
          <w:tcPr>
            <w:tcW w:w="900" w:type="dxa"/>
            <w:tcBorders>
              <w:bottom w:val="single" w:sz="6" w:space="0" w:color="000000"/>
              <w:right w:val="single" w:sz="6" w:space="0" w:color="000000"/>
            </w:tcBorders>
            <w:tcMar>
              <w:top w:w="40" w:type="dxa"/>
              <w:left w:w="40" w:type="dxa"/>
              <w:bottom w:w="40" w:type="dxa"/>
              <w:right w:w="40" w:type="dxa"/>
            </w:tcMar>
          </w:tcPr>
          <w:p w14:paraId="3D679697"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4A08E271"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19C948C9" w14:textId="77777777">
        <w:trPr>
          <w:trHeight w:val="121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D98611B"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3.3.2.5</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49D21ADB"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1C5D196E" w14:textId="03EF3875"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 xml:space="preserve">Knowledge of </w:t>
            </w:r>
            <w:r w:rsidR="00034D75">
              <w:rPr>
                <w:rFonts w:ascii="Arial" w:eastAsia="Arial" w:hAnsi="Arial" w:cs="Arial"/>
                <w:sz w:val="12"/>
                <w:szCs w:val="12"/>
              </w:rPr>
              <w:t>citizens'</w:t>
            </w:r>
            <w:r w:rsidRPr="00E619C8">
              <w:rPr>
                <w:rFonts w:ascii="Arial" w:eastAsia="Arial" w:hAnsi="Arial" w:cs="Arial"/>
                <w:sz w:val="12"/>
                <w:szCs w:val="12"/>
              </w:rPr>
              <w:t xml:space="preserve"> use</w:t>
            </w:r>
          </w:p>
        </w:tc>
        <w:tc>
          <w:tcPr>
            <w:tcW w:w="1710" w:type="dxa"/>
            <w:tcBorders>
              <w:bottom w:val="single" w:sz="6" w:space="0" w:color="000000"/>
              <w:right w:val="single" w:sz="6" w:space="0" w:color="000000"/>
            </w:tcBorders>
            <w:tcMar>
              <w:top w:w="40" w:type="dxa"/>
              <w:left w:w="40" w:type="dxa"/>
              <w:bottom w:w="40" w:type="dxa"/>
              <w:right w:w="40" w:type="dxa"/>
            </w:tcMar>
          </w:tcPr>
          <w:p w14:paraId="3AA54A95"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information made public regarding infrastructure projects is used by the citizens, civil society organisations, academia, media, private sector, or any other actor.</w:t>
            </w:r>
          </w:p>
        </w:tc>
        <w:tc>
          <w:tcPr>
            <w:tcW w:w="855" w:type="dxa"/>
            <w:tcBorders>
              <w:bottom w:val="single" w:sz="6" w:space="0" w:color="000000"/>
              <w:right w:val="single" w:sz="6" w:space="0" w:color="000000"/>
            </w:tcBorders>
            <w:tcMar>
              <w:top w:w="40" w:type="dxa"/>
              <w:left w:w="40" w:type="dxa"/>
              <w:bottom w:w="40" w:type="dxa"/>
              <w:right w:w="40" w:type="dxa"/>
            </w:tcMar>
          </w:tcPr>
          <w:p w14:paraId="722B03C0"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773BE3D8"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 officer does not know if there is any type of use; 3 = The officer knows and quotes an example in this present year; 5 = The officer knows and quotes more than one example in this present year.</w:t>
            </w:r>
          </w:p>
        </w:tc>
        <w:tc>
          <w:tcPr>
            <w:tcW w:w="900" w:type="dxa"/>
            <w:tcBorders>
              <w:bottom w:val="single" w:sz="6" w:space="0" w:color="000000"/>
              <w:right w:val="single" w:sz="6" w:space="0" w:color="000000"/>
            </w:tcBorders>
            <w:tcMar>
              <w:top w:w="40" w:type="dxa"/>
              <w:left w:w="40" w:type="dxa"/>
              <w:bottom w:w="40" w:type="dxa"/>
              <w:right w:w="40" w:type="dxa"/>
            </w:tcMar>
          </w:tcPr>
          <w:p w14:paraId="4FA0C27D"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65521A56"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4774C0FF" w14:textId="77777777">
        <w:trPr>
          <w:trHeight w:val="1099"/>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9F9FDF1"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3.3.2.6</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668FE5DC"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3972048F"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Evidence of joint projects</w:t>
            </w:r>
          </w:p>
        </w:tc>
        <w:tc>
          <w:tcPr>
            <w:tcW w:w="1710" w:type="dxa"/>
            <w:tcBorders>
              <w:bottom w:val="single" w:sz="6" w:space="0" w:color="000000"/>
              <w:right w:val="single" w:sz="6" w:space="0" w:color="000000"/>
            </w:tcBorders>
            <w:tcMar>
              <w:top w:w="40" w:type="dxa"/>
              <w:left w:w="40" w:type="dxa"/>
              <w:bottom w:w="40" w:type="dxa"/>
              <w:right w:w="40" w:type="dxa"/>
            </w:tcMar>
          </w:tcPr>
          <w:p w14:paraId="6625C168" w14:textId="3CCB00F0"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The entity has developed joint projects with other actors </w:t>
            </w:r>
            <w:r w:rsidR="00034D75">
              <w:rPr>
                <w:rFonts w:ascii="Arial" w:eastAsia="Arial" w:hAnsi="Arial" w:cs="Arial"/>
                <w:sz w:val="12"/>
                <w:szCs w:val="12"/>
              </w:rPr>
              <w:t>outside</w:t>
            </w:r>
            <w:r w:rsidRPr="00E619C8">
              <w:rPr>
                <w:rFonts w:ascii="Arial" w:eastAsia="Arial" w:hAnsi="Arial" w:cs="Arial"/>
                <w:sz w:val="12"/>
                <w:szCs w:val="12"/>
              </w:rPr>
              <w:t xml:space="preserve"> the entity as a result of the disclosed information on infrastructure projects.</w:t>
            </w:r>
          </w:p>
        </w:tc>
        <w:tc>
          <w:tcPr>
            <w:tcW w:w="855" w:type="dxa"/>
            <w:tcBorders>
              <w:bottom w:val="single" w:sz="6" w:space="0" w:color="000000"/>
              <w:right w:val="single" w:sz="6" w:space="0" w:color="000000"/>
            </w:tcBorders>
            <w:tcMar>
              <w:top w:w="40" w:type="dxa"/>
              <w:left w:w="40" w:type="dxa"/>
              <w:bottom w:w="40" w:type="dxa"/>
              <w:right w:w="40" w:type="dxa"/>
            </w:tcMar>
          </w:tcPr>
          <w:p w14:paraId="51799C5B"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41702646"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 officer does not know if there has been a joint project; 3 = The officer knows and quotes an example in this present year; 5 = The officer knows and quotes more than an example in this present year.</w:t>
            </w:r>
          </w:p>
        </w:tc>
        <w:tc>
          <w:tcPr>
            <w:tcW w:w="900" w:type="dxa"/>
            <w:tcBorders>
              <w:bottom w:val="single" w:sz="6" w:space="0" w:color="000000"/>
              <w:right w:val="single" w:sz="6" w:space="0" w:color="000000"/>
            </w:tcBorders>
            <w:tcMar>
              <w:top w:w="40" w:type="dxa"/>
              <w:left w:w="40" w:type="dxa"/>
              <w:bottom w:w="40" w:type="dxa"/>
              <w:right w:w="40" w:type="dxa"/>
            </w:tcMar>
          </w:tcPr>
          <w:p w14:paraId="067935C2"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730FFD49"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292CCCEC" w14:textId="77777777">
        <w:trPr>
          <w:trHeight w:val="57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51CCAA1"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3.3.2.7</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1C967415"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shd w:val="clear" w:color="auto" w:fill="FFFFFF"/>
            <w:tcMar>
              <w:top w:w="40" w:type="dxa"/>
              <w:left w:w="40" w:type="dxa"/>
              <w:bottom w:w="40" w:type="dxa"/>
              <w:right w:w="40" w:type="dxa"/>
            </w:tcMar>
          </w:tcPr>
          <w:p w14:paraId="52F00B31"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Improvements as a response to citizen participation</w:t>
            </w:r>
          </w:p>
        </w:tc>
        <w:tc>
          <w:tcPr>
            <w:tcW w:w="1710" w:type="dxa"/>
            <w:tcBorders>
              <w:bottom w:val="single" w:sz="6" w:space="0" w:color="000000"/>
              <w:right w:val="single" w:sz="6" w:space="0" w:color="000000"/>
            </w:tcBorders>
            <w:tcMar>
              <w:top w:w="40" w:type="dxa"/>
              <w:left w:w="40" w:type="dxa"/>
              <w:bottom w:w="40" w:type="dxa"/>
              <w:right w:w="40" w:type="dxa"/>
            </w:tcMar>
          </w:tcPr>
          <w:p w14:paraId="5DEA2E2A"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Changes or reforms have been made to infrastructure projects in response to feedback, evaluation, or some other type of citizen participation.</w:t>
            </w:r>
          </w:p>
        </w:tc>
        <w:tc>
          <w:tcPr>
            <w:tcW w:w="855" w:type="dxa"/>
            <w:tcBorders>
              <w:bottom w:val="single" w:sz="6" w:space="0" w:color="000000"/>
              <w:right w:val="single" w:sz="6" w:space="0" w:color="000000"/>
            </w:tcBorders>
            <w:tcMar>
              <w:top w:w="40" w:type="dxa"/>
              <w:left w:w="40" w:type="dxa"/>
              <w:bottom w:w="40" w:type="dxa"/>
              <w:right w:w="40" w:type="dxa"/>
            </w:tcMar>
          </w:tcPr>
          <w:p w14:paraId="7BF9F984"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Survey of public officials</w:t>
            </w:r>
          </w:p>
        </w:tc>
        <w:tc>
          <w:tcPr>
            <w:tcW w:w="1950" w:type="dxa"/>
            <w:tcBorders>
              <w:bottom w:val="single" w:sz="6" w:space="0" w:color="000000"/>
              <w:right w:val="single" w:sz="6" w:space="0" w:color="000000"/>
            </w:tcBorders>
            <w:tcMar>
              <w:top w:w="40" w:type="dxa"/>
              <w:left w:w="40" w:type="dxa"/>
              <w:bottom w:w="40" w:type="dxa"/>
              <w:right w:w="40" w:type="dxa"/>
            </w:tcMar>
          </w:tcPr>
          <w:p w14:paraId="3FE62B3F"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are no cases, or the officer does not know if there are any; 3 = There is evidence in a project in this current year; 5 = There is evidence of improvement in more than one project during this present year.</w:t>
            </w:r>
          </w:p>
        </w:tc>
        <w:tc>
          <w:tcPr>
            <w:tcW w:w="900" w:type="dxa"/>
            <w:tcBorders>
              <w:bottom w:val="single" w:sz="6" w:space="0" w:color="000000"/>
              <w:right w:val="single" w:sz="6" w:space="0" w:color="000000"/>
            </w:tcBorders>
            <w:tcMar>
              <w:top w:w="40" w:type="dxa"/>
              <w:left w:w="40" w:type="dxa"/>
              <w:bottom w:w="40" w:type="dxa"/>
              <w:right w:w="40" w:type="dxa"/>
            </w:tcMar>
          </w:tcPr>
          <w:p w14:paraId="7C15F81C"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71DC3D69"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Institutional</w:t>
            </w:r>
          </w:p>
        </w:tc>
      </w:tr>
      <w:tr w:rsidR="002033A5" w:rsidRPr="00E619C8" w14:paraId="62114BE3" w14:textId="77777777">
        <w:trPr>
          <w:trHeight w:val="1570"/>
        </w:trPr>
        <w:tc>
          <w:tcPr>
            <w:tcW w:w="690" w:type="dxa"/>
            <w:tcBorders>
              <w:top w:val="nil"/>
              <w:left w:val="single" w:sz="8" w:space="0" w:color="000000"/>
              <w:bottom w:val="single" w:sz="8" w:space="0" w:color="000000"/>
              <w:right w:val="single" w:sz="8" w:space="0" w:color="000000"/>
            </w:tcBorders>
            <w:shd w:val="clear" w:color="auto" w:fill="808080"/>
            <w:tcMar>
              <w:top w:w="100" w:type="dxa"/>
              <w:left w:w="80" w:type="dxa"/>
              <w:bottom w:w="100" w:type="dxa"/>
              <w:right w:w="80" w:type="dxa"/>
            </w:tcMar>
          </w:tcPr>
          <w:p w14:paraId="36BE433D" w14:textId="77777777" w:rsidR="002033A5" w:rsidRPr="00E619C8" w:rsidRDefault="00E113EC">
            <w:pPr>
              <w:spacing w:after="160" w:line="276" w:lineRule="auto"/>
              <w:ind w:left="-180"/>
              <w:jc w:val="center"/>
              <w:rPr>
                <w:rFonts w:ascii="Arial" w:eastAsia="Arial" w:hAnsi="Arial" w:cs="Arial"/>
                <w:color w:val="FFFFFF"/>
                <w:sz w:val="12"/>
                <w:szCs w:val="12"/>
              </w:rPr>
            </w:pPr>
            <w:r w:rsidRPr="00E619C8">
              <w:rPr>
                <w:rFonts w:ascii="Arial" w:eastAsia="Arial" w:hAnsi="Arial" w:cs="Arial"/>
                <w:color w:val="FFFFFF"/>
                <w:sz w:val="12"/>
                <w:szCs w:val="12"/>
              </w:rPr>
              <w:t>4</w:t>
            </w:r>
          </w:p>
        </w:tc>
        <w:tc>
          <w:tcPr>
            <w:tcW w:w="855"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3C265C45" w14:textId="77777777" w:rsidR="002033A5" w:rsidRPr="00E619C8" w:rsidRDefault="00E113EC">
            <w:pPr>
              <w:spacing w:after="160" w:line="276" w:lineRule="auto"/>
              <w:ind w:left="-12"/>
              <w:jc w:val="both"/>
              <w:rPr>
                <w:rFonts w:ascii="Arial" w:eastAsia="Arial" w:hAnsi="Arial" w:cs="Arial"/>
                <w:color w:val="FFFFFF"/>
                <w:sz w:val="12"/>
                <w:szCs w:val="12"/>
              </w:rPr>
            </w:pPr>
            <w:r w:rsidRPr="00E619C8">
              <w:rPr>
                <w:rFonts w:ascii="Arial" w:eastAsia="Arial" w:hAnsi="Arial" w:cs="Arial"/>
                <w:color w:val="FFFFFF"/>
                <w:sz w:val="12"/>
                <w:szCs w:val="12"/>
              </w:rPr>
              <w:t>Dimension</w:t>
            </w:r>
          </w:p>
        </w:tc>
        <w:tc>
          <w:tcPr>
            <w:tcW w:w="1140"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26AE8621" w14:textId="77777777" w:rsidR="002033A5" w:rsidRPr="00E619C8" w:rsidRDefault="00E113EC">
            <w:pPr>
              <w:spacing w:after="160" w:line="276" w:lineRule="auto"/>
              <w:rPr>
                <w:rFonts w:ascii="Arial" w:eastAsia="Arial" w:hAnsi="Arial" w:cs="Arial"/>
                <w:color w:val="FFFFFF"/>
                <w:sz w:val="12"/>
                <w:szCs w:val="12"/>
              </w:rPr>
            </w:pPr>
            <w:r w:rsidRPr="00E619C8">
              <w:rPr>
                <w:rFonts w:ascii="Arial" w:eastAsia="Arial" w:hAnsi="Arial" w:cs="Arial"/>
                <w:color w:val="FFFFFF"/>
                <w:sz w:val="12"/>
                <w:szCs w:val="12"/>
              </w:rPr>
              <w:t>Information disclosure</w:t>
            </w:r>
          </w:p>
        </w:tc>
        <w:tc>
          <w:tcPr>
            <w:tcW w:w="1710"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105C6945" w14:textId="77777777" w:rsidR="002033A5" w:rsidRPr="00E619C8" w:rsidRDefault="00E113EC">
            <w:pPr>
              <w:spacing w:line="276" w:lineRule="auto"/>
              <w:rPr>
                <w:rFonts w:ascii="Arial" w:eastAsia="Arial" w:hAnsi="Arial" w:cs="Arial"/>
                <w:color w:val="FFFFFF"/>
                <w:sz w:val="12"/>
                <w:szCs w:val="12"/>
              </w:rPr>
            </w:pPr>
            <w:r w:rsidRPr="00E619C8">
              <w:rPr>
                <w:rFonts w:ascii="Arial" w:eastAsia="Arial" w:hAnsi="Arial" w:cs="Arial"/>
                <w:color w:val="FFFFFF"/>
                <w:sz w:val="12"/>
                <w:szCs w:val="12"/>
              </w:rPr>
              <w:t>Evaluates the amount of data and information disclosed by procuring entities on infrastructure projects according to the CoST IDS or the OC4IDS.</w:t>
            </w:r>
          </w:p>
        </w:tc>
        <w:tc>
          <w:tcPr>
            <w:tcW w:w="855"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443F4845" w14:textId="77777777" w:rsidR="002033A5" w:rsidRPr="00E619C8" w:rsidRDefault="00E113EC">
            <w:pPr>
              <w:spacing w:after="160" w:line="276" w:lineRule="auto"/>
              <w:rPr>
                <w:rFonts w:ascii="Arial" w:eastAsia="Arial" w:hAnsi="Arial" w:cs="Arial"/>
                <w:color w:val="FFFFFF"/>
                <w:sz w:val="12"/>
                <w:szCs w:val="12"/>
              </w:rPr>
            </w:pPr>
            <w:r w:rsidRPr="00E619C8">
              <w:rPr>
                <w:rFonts w:ascii="Arial" w:eastAsia="Arial" w:hAnsi="Arial" w:cs="Arial"/>
                <w:color w:val="FFFFFF"/>
                <w:sz w:val="12"/>
                <w:szCs w:val="12"/>
              </w:rPr>
              <w:t xml:space="preserve"> </w:t>
            </w:r>
          </w:p>
        </w:tc>
        <w:tc>
          <w:tcPr>
            <w:tcW w:w="1950"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4AC44E7D" w14:textId="77777777" w:rsidR="002033A5" w:rsidRPr="00E619C8" w:rsidRDefault="00E113EC">
            <w:pPr>
              <w:spacing w:line="276" w:lineRule="auto"/>
              <w:rPr>
                <w:rFonts w:ascii="Arial" w:eastAsia="Arial" w:hAnsi="Arial" w:cs="Arial"/>
                <w:color w:val="FFFFFF"/>
                <w:sz w:val="12"/>
                <w:szCs w:val="12"/>
              </w:rPr>
            </w:pPr>
            <w:r w:rsidRPr="00E619C8">
              <w:rPr>
                <w:rFonts w:ascii="Arial" w:eastAsia="Arial" w:hAnsi="Arial" w:cs="Arial"/>
                <w:color w:val="FFFFFF"/>
                <w:sz w:val="12"/>
                <w:szCs w:val="12"/>
              </w:rPr>
              <w:t>The indicators of this dimension are evaluated “</w:t>
            </w:r>
            <w:r w:rsidRPr="00E619C8">
              <w:rPr>
                <w:rFonts w:ascii="Arial" w:eastAsia="Arial" w:hAnsi="Arial" w:cs="Arial"/>
                <w:i/>
                <w:iCs/>
                <w:color w:val="FFFFFF"/>
                <w:sz w:val="12"/>
                <w:szCs w:val="12"/>
              </w:rPr>
              <w:t>n</w:t>
            </w:r>
            <w:r w:rsidRPr="00E619C8">
              <w:rPr>
                <w:rFonts w:ascii="Arial" w:eastAsia="Arial" w:hAnsi="Arial" w:cs="Arial"/>
                <w:color w:val="FFFFFF"/>
                <w:sz w:val="12"/>
                <w:szCs w:val="12"/>
                <w:vertAlign w:val="subscript"/>
              </w:rPr>
              <w:t>p</w:t>
            </w:r>
            <w:r w:rsidRPr="00E619C8">
              <w:rPr>
                <w:rFonts w:ascii="Arial" w:eastAsia="Arial" w:hAnsi="Arial" w:cs="Arial"/>
                <w:color w:val="FFFFFF"/>
                <w:sz w:val="12"/>
                <w:szCs w:val="12"/>
              </w:rPr>
              <w:t>”</w:t>
            </w:r>
            <w:r w:rsidRPr="00E619C8">
              <w:rPr>
                <w:rFonts w:ascii="Arial" w:eastAsia="Arial" w:hAnsi="Arial" w:cs="Arial"/>
                <w:i/>
                <w:iCs/>
                <w:color w:val="FFFFFF"/>
                <w:sz w:val="12"/>
                <w:szCs w:val="12"/>
              </w:rPr>
              <w:t xml:space="preserve"> </w:t>
            </w:r>
            <w:r w:rsidRPr="00E619C8">
              <w:rPr>
                <w:rFonts w:ascii="Arial" w:eastAsia="Arial" w:hAnsi="Arial" w:cs="Arial"/>
                <w:color w:val="FFFFFF"/>
                <w:sz w:val="12"/>
                <w:szCs w:val="12"/>
              </w:rPr>
              <w:t>times at the infrastructure project level of each of the “</w:t>
            </w:r>
            <w:r w:rsidRPr="00E619C8">
              <w:rPr>
                <w:rFonts w:ascii="Arial" w:eastAsia="Arial" w:hAnsi="Arial" w:cs="Arial"/>
                <w:i/>
                <w:iCs/>
                <w:color w:val="FFFFFF"/>
                <w:sz w:val="12"/>
                <w:szCs w:val="12"/>
              </w:rPr>
              <w:t>n</w:t>
            </w:r>
            <w:r w:rsidRPr="00E619C8">
              <w:rPr>
                <w:rFonts w:ascii="Arial" w:eastAsia="Arial" w:hAnsi="Arial" w:cs="Arial"/>
                <w:color w:val="FFFFFF"/>
                <w:sz w:val="12"/>
                <w:szCs w:val="12"/>
                <w:vertAlign w:val="subscript"/>
              </w:rPr>
              <w:t>e</w:t>
            </w:r>
            <w:r w:rsidRPr="00E619C8">
              <w:rPr>
                <w:rFonts w:ascii="Arial" w:eastAsia="Arial" w:hAnsi="Arial" w:cs="Arial"/>
                <w:color w:val="FFFFFF"/>
                <w:sz w:val="12"/>
                <w:szCs w:val="12"/>
              </w:rPr>
              <w:t>” evaluated procuring entities.</w:t>
            </w:r>
          </w:p>
        </w:tc>
        <w:tc>
          <w:tcPr>
            <w:tcW w:w="900"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6803FFED" w14:textId="77777777" w:rsidR="002033A5" w:rsidRPr="00E619C8" w:rsidRDefault="00E113EC">
            <w:pPr>
              <w:spacing w:after="160" w:line="276" w:lineRule="auto"/>
              <w:jc w:val="center"/>
              <w:rPr>
                <w:rFonts w:ascii="Arial" w:eastAsia="Arial" w:hAnsi="Arial" w:cs="Arial"/>
                <w:color w:val="FFFFFF"/>
                <w:sz w:val="12"/>
                <w:szCs w:val="12"/>
              </w:rPr>
            </w:pPr>
            <w:r w:rsidRPr="00E619C8">
              <w:rPr>
                <w:rFonts w:ascii="Arial" w:eastAsia="Arial" w:hAnsi="Arial" w:cs="Arial"/>
                <w:color w:val="FFFFFF"/>
                <w:sz w:val="12"/>
                <w:szCs w:val="12"/>
              </w:rPr>
              <w:t>0.35 when calculating the national or sub-national ITI score</w:t>
            </w:r>
          </w:p>
          <w:p w14:paraId="7C7E2439" w14:textId="01CA03FC" w:rsidR="002033A5" w:rsidRPr="00E619C8" w:rsidRDefault="00E113EC">
            <w:pPr>
              <w:spacing w:line="276" w:lineRule="auto"/>
              <w:jc w:val="center"/>
              <w:rPr>
                <w:rFonts w:ascii="Arial" w:eastAsia="Arial" w:hAnsi="Arial" w:cs="Arial"/>
                <w:color w:val="FFFFFF"/>
                <w:sz w:val="12"/>
                <w:szCs w:val="12"/>
              </w:rPr>
            </w:pPr>
            <w:r w:rsidRPr="00E619C8">
              <w:rPr>
                <w:rFonts w:ascii="Arial" w:eastAsia="Arial" w:hAnsi="Arial" w:cs="Arial"/>
                <w:color w:val="FFFFFF"/>
                <w:sz w:val="12"/>
                <w:szCs w:val="12"/>
              </w:rPr>
              <w:t xml:space="preserve">0.40 when calculating the procuring </w:t>
            </w:r>
            <w:r w:rsidR="000A600E">
              <w:rPr>
                <w:rFonts w:ascii="Arial" w:eastAsia="Arial" w:hAnsi="Arial" w:cs="Arial"/>
                <w:color w:val="FFFFFF"/>
                <w:sz w:val="12"/>
                <w:szCs w:val="12"/>
              </w:rPr>
              <w:t>entity</w:t>
            </w:r>
            <w:r w:rsidRPr="00E619C8">
              <w:rPr>
                <w:rFonts w:ascii="Arial" w:eastAsia="Arial" w:hAnsi="Arial" w:cs="Arial"/>
                <w:color w:val="FFFFFF"/>
                <w:sz w:val="12"/>
                <w:szCs w:val="12"/>
              </w:rPr>
              <w:t xml:space="preserve"> ITI score</w:t>
            </w:r>
          </w:p>
        </w:tc>
        <w:tc>
          <w:tcPr>
            <w:tcW w:w="930" w:type="dxa"/>
            <w:tcBorders>
              <w:top w:val="nil"/>
              <w:left w:val="nil"/>
              <w:bottom w:val="single" w:sz="8" w:space="0" w:color="000000"/>
              <w:right w:val="single" w:sz="8" w:space="0" w:color="000000"/>
            </w:tcBorders>
            <w:shd w:val="clear" w:color="auto" w:fill="808080"/>
            <w:tcMar>
              <w:top w:w="100" w:type="dxa"/>
              <w:left w:w="80" w:type="dxa"/>
              <w:bottom w:w="100" w:type="dxa"/>
              <w:right w:w="80" w:type="dxa"/>
            </w:tcMar>
          </w:tcPr>
          <w:p w14:paraId="0E40ABF3" w14:textId="77777777" w:rsidR="002033A5" w:rsidRPr="00E619C8" w:rsidRDefault="00E113EC">
            <w:pPr>
              <w:spacing w:after="160" w:line="276" w:lineRule="auto"/>
              <w:jc w:val="center"/>
              <w:rPr>
                <w:rFonts w:ascii="Arial" w:eastAsia="Arial" w:hAnsi="Arial" w:cs="Arial"/>
                <w:color w:val="FFFFFF"/>
                <w:sz w:val="12"/>
                <w:szCs w:val="12"/>
              </w:rPr>
            </w:pPr>
            <w:r w:rsidRPr="00E619C8">
              <w:rPr>
                <w:rFonts w:ascii="Arial" w:eastAsia="Arial" w:hAnsi="Arial" w:cs="Arial"/>
                <w:color w:val="FFFFFF"/>
                <w:sz w:val="12"/>
                <w:szCs w:val="12"/>
              </w:rPr>
              <w:t xml:space="preserve"> </w:t>
            </w:r>
          </w:p>
        </w:tc>
      </w:tr>
      <w:tr w:rsidR="002033A5" w:rsidRPr="00E619C8" w14:paraId="48031685" w14:textId="77777777">
        <w:trPr>
          <w:trHeight w:val="87"/>
        </w:trPr>
        <w:tc>
          <w:tcPr>
            <w:tcW w:w="690" w:type="dxa"/>
            <w:tcBorders>
              <w:top w:val="nil"/>
              <w:left w:val="single" w:sz="8" w:space="0" w:color="000000"/>
              <w:bottom w:val="single" w:sz="8" w:space="0" w:color="000000"/>
              <w:right w:val="single" w:sz="8" w:space="0" w:color="000000"/>
            </w:tcBorders>
            <w:shd w:val="clear" w:color="auto" w:fill="A6A6A6"/>
            <w:tcMar>
              <w:top w:w="100" w:type="dxa"/>
              <w:left w:w="80" w:type="dxa"/>
              <w:bottom w:w="100" w:type="dxa"/>
              <w:right w:w="80" w:type="dxa"/>
            </w:tcMar>
          </w:tcPr>
          <w:p w14:paraId="4C992FA9"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w:t>
            </w:r>
          </w:p>
        </w:tc>
        <w:tc>
          <w:tcPr>
            <w:tcW w:w="855"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2BC64B53"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Variable</w:t>
            </w:r>
          </w:p>
        </w:tc>
        <w:tc>
          <w:tcPr>
            <w:tcW w:w="114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71447C53"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Disclosure practices</w:t>
            </w:r>
          </w:p>
        </w:tc>
        <w:tc>
          <w:tcPr>
            <w:tcW w:w="171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6B627FCD"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 </w:t>
            </w:r>
          </w:p>
        </w:tc>
        <w:tc>
          <w:tcPr>
            <w:tcW w:w="855"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3CCDBADB"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 xml:space="preserve"> </w:t>
            </w:r>
          </w:p>
        </w:tc>
        <w:tc>
          <w:tcPr>
            <w:tcW w:w="195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3B86463D"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 </w:t>
            </w:r>
          </w:p>
        </w:tc>
        <w:tc>
          <w:tcPr>
            <w:tcW w:w="90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29417478"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1.00</w:t>
            </w:r>
          </w:p>
        </w:tc>
        <w:tc>
          <w:tcPr>
            <w:tcW w:w="930" w:type="dxa"/>
            <w:tcBorders>
              <w:top w:val="nil"/>
              <w:left w:val="nil"/>
              <w:bottom w:val="single" w:sz="8" w:space="0" w:color="000000"/>
              <w:right w:val="single" w:sz="8" w:space="0" w:color="000000"/>
            </w:tcBorders>
            <w:shd w:val="clear" w:color="auto" w:fill="A6A6A6"/>
            <w:tcMar>
              <w:top w:w="100" w:type="dxa"/>
              <w:left w:w="80" w:type="dxa"/>
              <w:bottom w:w="100" w:type="dxa"/>
              <w:right w:w="80" w:type="dxa"/>
            </w:tcMar>
          </w:tcPr>
          <w:p w14:paraId="4F1DDF0F"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 xml:space="preserve"> </w:t>
            </w:r>
          </w:p>
        </w:tc>
      </w:tr>
      <w:tr w:rsidR="002033A5" w:rsidRPr="00E619C8" w14:paraId="50009434" w14:textId="77777777">
        <w:trPr>
          <w:trHeight w:val="680"/>
        </w:trPr>
        <w:tc>
          <w:tcPr>
            <w:tcW w:w="690" w:type="dxa"/>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3983BE83"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4.1.1</w:t>
            </w:r>
          </w:p>
        </w:tc>
        <w:tc>
          <w:tcPr>
            <w:tcW w:w="855"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0E308B66"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Sub- variable</w:t>
            </w:r>
          </w:p>
        </w:tc>
        <w:tc>
          <w:tcPr>
            <w:tcW w:w="1140" w:type="dxa"/>
            <w:tcBorders>
              <w:top w:val="single" w:sz="6" w:space="0" w:color="000000"/>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7760796E"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Project identification</w:t>
            </w:r>
          </w:p>
        </w:tc>
        <w:tc>
          <w:tcPr>
            <w:tcW w:w="171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4B1F65B3"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855"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0E8D5DB8" w14:textId="77777777" w:rsidR="002033A5" w:rsidRPr="00E619C8" w:rsidRDefault="002033A5">
            <w:pPr>
              <w:pBdr>
                <w:top w:val="nil"/>
                <w:left w:val="nil"/>
                <w:bottom w:val="nil"/>
                <w:right w:val="nil"/>
                <w:between w:val="nil"/>
              </w:pBdr>
              <w:spacing w:after="160" w:line="276" w:lineRule="auto"/>
              <w:rPr>
                <w:rFonts w:ascii="Arial" w:eastAsia="Arial" w:hAnsi="Arial" w:cs="Arial"/>
                <w:sz w:val="12"/>
                <w:szCs w:val="12"/>
              </w:rPr>
            </w:pPr>
          </w:p>
        </w:tc>
        <w:tc>
          <w:tcPr>
            <w:tcW w:w="195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60511F94"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900" w:type="dxa"/>
            <w:tcBorders>
              <w:top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23355266"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4FA6E088"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 xml:space="preserve"> </w:t>
            </w:r>
          </w:p>
        </w:tc>
      </w:tr>
      <w:tr w:rsidR="002033A5" w:rsidRPr="00E619C8" w14:paraId="11D775C1" w14:textId="77777777">
        <w:trPr>
          <w:trHeight w:val="21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1425DB7"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4.1.1.1</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2A12129E"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126108C6"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Project reference number</w:t>
            </w:r>
          </w:p>
        </w:tc>
        <w:tc>
          <w:tcPr>
            <w:tcW w:w="1710" w:type="dxa"/>
            <w:tcBorders>
              <w:bottom w:val="single" w:sz="6" w:space="0" w:color="000000"/>
              <w:right w:val="single" w:sz="6" w:space="0" w:color="000000"/>
            </w:tcBorders>
            <w:tcMar>
              <w:top w:w="40" w:type="dxa"/>
              <w:left w:w="40" w:type="dxa"/>
              <w:bottom w:w="40" w:type="dxa"/>
              <w:right w:w="40" w:type="dxa"/>
            </w:tcMar>
          </w:tcPr>
          <w:p w14:paraId="2F9A5172"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There is a number or code assigned to the project that uniquely identifies it.</w:t>
            </w:r>
          </w:p>
        </w:tc>
        <w:tc>
          <w:tcPr>
            <w:tcW w:w="855" w:type="dxa"/>
            <w:tcBorders>
              <w:bottom w:val="single" w:sz="6" w:space="0" w:color="000000"/>
              <w:right w:val="single" w:sz="6" w:space="0" w:color="000000"/>
            </w:tcBorders>
            <w:tcMar>
              <w:top w:w="40" w:type="dxa"/>
              <w:left w:w="40" w:type="dxa"/>
              <w:bottom w:w="40" w:type="dxa"/>
              <w:right w:w="40" w:type="dxa"/>
            </w:tcMar>
          </w:tcPr>
          <w:p w14:paraId="4E33611F"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Project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2421D2E2"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available; 3 = It is available, but it changes, or it is not the same in all registries; 5 = It is always available and the same.</w:t>
            </w:r>
          </w:p>
        </w:tc>
        <w:tc>
          <w:tcPr>
            <w:tcW w:w="900" w:type="dxa"/>
            <w:tcBorders>
              <w:bottom w:val="single" w:sz="6" w:space="0" w:color="000000"/>
              <w:right w:val="single" w:sz="6" w:space="0" w:color="000000"/>
            </w:tcBorders>
            <w:tcMar>
              <w:top w:w="40" w:type="dxa"/>
              <w:left w:w="40" w:type="dxa"/>
              <w:bottom w:w="40" w:type="dxa"/>
              <w:right w:w="40" w:type="dxa"/>
            </w:tcMar>
          </w:tcPr>
          <w:p w14:paraId="40A3DBCD"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0.075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69342E0C"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7E3CFFB1" w14:textId="77777777">
        <w:trPr>
          <w:trHeight w:val="27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1CD161A"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4.1.1.2</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03D5A4A3"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3619B5BE"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Project owner</w:t>
            </w:r>
          </w:p>
        </w:tc>
        <w:tc>
          <w:tcPr>
            <w:tcW w:w="1710" w:type="dxa"/>
            <w:tcBorders>
              <w:bottom w:val="single" w:sz="6" w:space="0" w:color="000000"/>
              <w:right w:val="single" w:sz="6" w:space="0" w:color="000000"/>
            </w:tcBorders>
            <w:tcMar>
              <w:top w:w="40" w:type="dxa"/>
              <w:left w:w="40" w:type="dxa"/>
              <w:bottom w:w="40" w:type="dxa"/>
              <w:right w:w="40" w:type="dxa"/>
            </w:tcMar>
          </w:tcPr>
          <w:p w14:paraId="135DFA2A" w14:textId="735E69B6"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The entity in charge of </w:t>
            </w:r>
            <w:r w:rsidR="000A600E">
              <w:rPr>
                <w:rFonts w:ascii="Arial" w:eastAsia="Arial" w:hAnsi="Arial" w:cs="Arial"/>
                <w:sz w:val="12"/>
                <w:szCs w:val="12"/>
              </w:rPr>
              <w:t xml:space="preserve">the </w:t>
            </w:r>
            <w:r w:rsidRPr="00E619C8">
              <w:rPr>
                <w:rFonts w:ascii="Arial" w:eastAsia="Arial" w:hAnsi="Arial" w:cs="Arial"/>
                <w:sz w:val="12"/>
                <w:szCs w:val="12"/>
              </w:rPr>
              <w:t>project development and execution contract is clearly identified.</w:t>
            </w:r>
          </w:p>
        </w:tc>
        <w:tc>
          <w:tcPr>
            <w:tcW w:w="855" w:type="dxa"/>
            <w:tcBorders>
              <w:bottom w:val="single" w:sz="6" w:space="0" w:color="000000"/>
              <w:right w:val="single" w:sz="6" w:space="0" w:color="000000"/>
            </w:tcBorders>
            <w:tcMar>
              <w:top w:w="40" w:type="dxa"/>
              <w:left w:w="40" w:type="dxa"/>
              <w:bottom w:w="40" w:type="dxa"/>
              <w:right w:w="40" w:type="dxa"/>
            </w:tcMar>
          </w:tcPr>
          <w:p w14:paraId="1752E352"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Project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61E76DE5"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available; 5 = It is available.</w:t>
            </w:r>
          </w:p>
        </w:tc>
        <w:tc>
          <w:tcPr>
            <w:tcW w:w="900" w:type="dxa"/>
            <w:tcBorders>
              <w:bottom w:val="single" w:sz="6" w:space="0" w:color="000000"/>
              <w:right w:val="single" w:sz="6" w:space="0" w:color="000000"/>
            </w:tcBorders>
            <w:tcMar>
              <w:top w:w="40" w:type="dxa"/>
              <w:left w:w="40" w:type="dxa"/>
              <w:bottom w:w="40" w:type="dxa"/>
              <w:right w:w="40" w:type="dxa"/>
            </w:tcMar>
          </w:tcPr>
          <w:p w14:paraId="066FD15F"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0ABFE190"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4111793B" w14:textId="77777777">
        <w:trPr>
          <w:trHeight w:val="46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52A13DA"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4.1.1.3</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3A4850E9"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0354D5C3"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Sector and sub-sector</w:t>
            </w:r>
          </w:p>
        </w:tc>
        <w:tc>
          <w:tcPr>
            <w:tcW w:w="1710" w:type="dxa"/>
            <w:tcBorders>
              <w:bottom w:val="single" w:sz="6" w:space="0" w:color="000000"/>
              <w:right w:val="single" w:sz="6" w:space="0" w:color="000000"/>
            </w:tcBorders>
            <w:tcMar>
              <w:top w:w="40" w:type="dxa"/>
              <w:left w:w="40" w:type="dxa"/>
              <w:bottom w:w="40" w:type="dxa"/>
              <w:right w:w="40" w:type="dxa"/>
            </w:tcMar>
          </w:tcPr>
          <w:p w14:paraId="68994885"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sector and sub-sector are identified according to the government structure, for which the project is being developed (e.g. transport, road transport).</w:t>
            </w:r>
          </w:p>
        </w:tc>
        <w:tc>
          <w:tcPr>
            <w:tcW w:w="855" w:type="dxa"/>
            <w:tcBorders>
              <w:bottom w:val="single" w:sz="6" w:space="0" w:color="000000"/>
              <w:right w:val="single" w:sz="6" w:space="0" w:color="000000"/>
            </w:tcBorders>
            <w:tcMar>
              <w:top w:w="40" w:type="dxa"/>
              <w:left w:w="40" w:type="dxa"/>
              <w:bottom w:w="40" w:type="dxa"/>
              <w:right w:w="40" w:type="dxa"/>
            </w:tcMar>
          </w:tcPr>
          <w:p w14:paraId="5B7FF660"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Project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571BAC79"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They are not available; 3 = Only one is available; 5 = Both are available.</w:t>
            </w:r>
          </w:p>
        </w:tc>
        <w:tc>
          <w:tcPr>
            <w:tcW w:w="900" w:type="dxa"/>
            <w:tcBorders>
              <w:bottom w:val="single" w:sz="6" w:space="0" w:color="000000"/>
              <w:right w:val="single" w:sz="6" w:space="0" w:color="000000"/>
            </w:tcBorders>
            <w:tcMar>
              <w:top w:w="40" w:type="dxa"/>
              <w:left w:w="40" w:type="dxa"/>
              <w:bottom w:w="40" w:type="dxa"/>
              <w:right w:w="40" w:type="dxa"/>
            </w:tcMar>
          </w:tcPr>
          <w:p w14:paraId="5BB47180"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347329A5"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7AD3A565" w14:textId="77777777">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664A18D"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4.1.1.4</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6D96853F"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282B8B9"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Project name</w:t>
            </w:r>
          </w:p>
        </w:tc>
        <w:tc>
          <w:tcPr>
            <w:tcW w:w="1710" w:type="dxa"/>
            <w:tcBorders>
              <w:bottom w:val="single" w:sz="6" w:space="0" w:color="000000"/>
              <w:right w:val="single" w:sz="6" w:space="0" w:color="000000"/>
            </w:tcBorders>
            <w:tcMar>
              <w:top w:w="40" w:type="dxa"/>
              <w:left w:w="40" w:type="dxa"/>
              <w:bottom w:w="40" w:type="dxa"/>
              <w:right w:w="40" w:type="dxa"/>
            </w:tcMar>
          </w:tcPr>
          <w:p w14:paraId="2BF56E32"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project is clearly identified with the same name throughout the project cycle.</w:t>
            </w:r>
          </w:p>
        </w:tc>
        <w:tc>
          <w:tcPr>
            <w:tcW w:w="855" w:type="dxa"/>
            <w:tcBorders>
              <w:bottom w:val="single" w:sz="6" w:space="0" w:color="000000"/>
              <w:right w:val="single" w:sz="6" w:space="0" w:color="000000"/>
            </w:tcBorders>
            <w:tcMar>
              <w:top w:w="40" w:type="dxa"/>
              <w:left w:w="40" w:type="dxa"/>
              <w:bottom w:w="40" w:type="dxa"/>
              <w:right w:w="40" w:type="dxa"/>
            </w:tcMar>
          </w:tcPr>
          <w:p w14:paraId="0191379B"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Project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3B0ED4B4" w14:textId="0D0ED00E"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identified; 3 = It is identified</w:t>
            </w:r>
            <w:r w:rsidR="000A600E">
              <w:rPr>
                <w:rFonts w:ascii="Arial" w:eastAsia="Arial" w:hAnsi="Arial" w:cs="Arial"/>
                <w:sz w:val="12"/>
                <w:szCs w:val="12"/>
              </w:rPr>
              <w:t>,</w:t>
            </w:r>
            <w:r w:rsidRPr="00E619C8">
              <w:rPr>
                <w:rFonts w:ascii="Arial" w:eastAsia="Arial" w:hAnsi="Arial" w:cs="Arial"/>
                <w:sz w:val="12"/>
                <w:szCs w:val="12"/>
              </w:rPr>
              <w:t xml:space="preserve"> but it changes; 5 = It is identified with no changes through the project cycle.</w:t>
            </w:r>
          </w:p>
        </w:tc>
        <w:tc>
          <w:tcPr>
            <w:tcW w:w="900" w:type="dxa"/>
            <w:tcBorders>
              <w:bottom w:val="single" w:sz="6" w:space="0" w:color="000000"/>
              <w:right w:val="single" w:sz="6" w:space="0" w:color="000000"/>
            </w:tcBorders>
            <w:tcMar>
              <w:top w:w="40" w:type="dxa"/>
              <w:left w:w="40" w:type="dxa"/>
              <w:bottom w:w="40" w:type="dxa"/>
              <w:right w:w="40" w:type="dxa"/>
            </w:tcMar>
          </w:tcPr>
          <w:p w14:paraId="4302DB5A"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0.075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5FA5E874"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30007429" w14:textId="77777777">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47D0C2E"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4.1.1.5</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6C48F72E"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63FA1F0"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Project location</w:t>
            </w:r>
          </w:p>
        </w:tc>
        <w:tc>
          <w:tcPr>
            <w:tcW w:w="1710" w:type="dxa"/>
            <w:tcBorders>
              <w:bottom w:val="single" w:sz="6" w:space="0" w:color="000000"/>
              <w:right w:val="single" w:sz="6" w:space="0" w:color="000000"/>
            </w:tcBorders>
            <w:tcMar>
              <w:top w:w="40" w:type="dxa"/>
              <w:left w:w="40" w:type="dxa"/>
              <w:bottom w:w="40" w:type="dxa"/>
              <w:right w:w="40" w:type="dxa"/>
            </w:tcMar>
          </w:tcPr>
          <w:p w14:paraId="12344231"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physical location of the project is clearly identified.</w:t>
            </w:r>
          </w:p>
        </w:tc>
        <w:tc>
          <w:tcPr>
            <w:tcW w:w="855" w:type="dxa"/>
            <w:tcBorders>
              <w:bottom w:val="single" w:sz="6" w:space="0" w:color="000000"/>
              <w:right w:val="single" w:sz="6" w:space="0" w:color="000000"/>
            </w:tcBorders>
            <w:tcMar>
              <w:top w:w="40" w:type="dxa"/>
              <w:left w:w="40" w:type="dxa"/>
              <w:bottom w:w="40" w:type="dxa"/>
              <w:right w:w="40" w:type="dxa"/>
            </w:tcMar>
          </w:tcPr>
          <w:p w14:paraId="79DC08A5"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Project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0944A0A6"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available; 5 = It is available.</w:t>
            </w:r>
          </w:p>
        </w:tc>
        <w:tc>
          <w:tcPr>
            <w:tcW w:w="900" w:type="dxa"/>
            <w:tcBorders>
              <w:bottom w:val="single" w:sz="6" w:space="0" w:color="000000"/>
              <w:right w:val="single" w:sz="6" w:space="0" w:color="000000"/>
            </w:tcBorders>
            <w:tcMar>
              <w:top w:w="40" w:type="dxa"/>
              <w:left w:w="40" w:type="dxa"/>
              <w:bottom w:w="40" w:type="dxa"/>
              <w:right w:w="40" w:type="dxa"/>
            </w:tcMar>
          </w:tcPr>
          <w:p w14:paraId="28D3B9C7"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5D8AC6FB" w14:textId="77777777" w:rsidR="002033A5" w:rsidRPr="00E619C8" w:rsidRDefault="00E113EC">
            <w:pPr>
              <w:spacing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177C90A4" w14:textId="77777777">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C750EBB"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4.1.1.6</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51C2DA7F"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3B452DAD"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Project description</w:t>
            </w:r>
          </w:p>
        </w:tc>
        <w:tc>
          <w:tcPr>
            <w:tcW w:w="1710" w:type="dxa"/>
            <w:tcBorders>
              <w:bottom w:val="single" w:sz="6" w:space="0" w:color="000000"/>
              <w:right w:val="single" w:sz="6" w:space="0" w:color="000000"/>
            </w:tcBorders>
            <w:tcMar>
              <w:top w:w="40" w:type="dxa"/>
              <w:left w:w="40" w:type="dxa"/>
              <w:bottom w:w="40" w:type="dxa"/>
              <w:right w:w="40" w:type="dxa"/>
            </w:tcMar>
          </w:tcPr>
          <w:p w14:paraId="67F62322"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project´s description is available, indicating what it is about and the infrastructure outputs that are part of it.</w:t>
            </w:r>
          </w:p>
        </w:tc>
        <w:tc>
          <w:tcPr>
            <w:tcW w:w="855" w:type="dxa"/>
            <w:tcBorders>
              <w:bottom w:val="single" w:sz="6" w:space="0" w:color="000000"/>
              <w:right w:val="single" w:sz="6" w:space="0" w:color="000000"/>
            </w:tcBorders>
            <w:tcMar>
              <w:top w:w="40" w:type="dxa"/>
              <w:left w:w="40" w:type="dxa"/>
              <w:bottom w:w="40" w:type="dxa"/>
              <w:right w:w="40" w:type="dxa"/>
            </w:tcMar>
          </w:tcPr>
          <w:p w14:paraId="68AEAEA8"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Project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106F6509"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available; 3 = It is available, but it is insufficient; 5 = It is available, clear and comprehensive.</w:t>
            </w:r>
          </w:p>
        </w:tc>
        <w:tc>
          <w:tcPr>
            <w:tcW w:w="900" w:type="dxa"/>
            <w:tcBorders>
              <w:bottom w:val="single" w:sz="6" w:space="0" w:color="000000"/>
              <w:right w:val="single" w:sz="6" w:space="0" w:color="000000"/>
            </w:tcBorders>
            <w:tcMar>
              <w:top w:w="40" w:type="dxa"/>
              <w:left w:w="40" w:type="dxa"/>
              <w:bottom w:w="40" w:type="dxa"/>
              <w:right w:w="40" w:type="dxa"/>
            </w:tcMar>
          </w:tcPr>
          <w:p w14:paraId="1C83C35E"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05EAB05D"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67760FC0" w14:textId="77777777">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0C5A78A"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4.1.1.7</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59B9294E"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2F727CD0"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Purpose</w:t>
            </w:r>
          </w:p>
        </w:tc>
        <w:tc>
          <w:tcPr>
            <w:tcW w:w="1710" w:type="dxa"/>
            <w:tcBorders>
              <w:bottom w:val="single" w:sz="6" w:space="0" w:color="000000"/>
              <w:right w:val="single" w:sz="6" w:space="0" w:color="000000"/>
            </w:tcBorders>
            <w:tcMar>
              <w:top w:w="40" w:type="dxa"/>
              <w:left w:w="40" w:type="dxa"/>
              <w:bottom w:w="40" w:type="dxa"/>
              <w:right w:w="40" w:type="dxa"/>
            </w:tcMar>
          </w:tcPr>
          <w:p w14:paraId="562B0B7B"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There is a project purpose expressed in terms of public infrastructure and its intended social and economic impact.</w:t>
            </w:r>
          </w:p>
        </w:tc>
        <w:tc>
          <w:tcPr>
            <w:tcW w:w="855" w:type="dxa"/>
            <w:tcBorders>
              <w:bottom w:val="single" w:sz="6" w:space="0" w:color="000000"/>
              <w:right w:val="single" w:sz="6" w:space="0" w:color="000000"/>
            </w:tcBorders>
            <w:tcMar>
              <w:top w:w="40" w:type="dxa"/>
              <w:left w:w="40" w:type="dxa"/>
              <w:bottom w:w="40" w:type="dxa"/>
              <w:right w:w="40" w:type="dxa"/>
            </w:tcMar>
          </w:tcPr>
          <w:p w14:paraId="4C64584E"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Project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409C9462"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available; 3 = It is available, but it is insufficient; 5 = It is available, clear and comprehensive.</w:t>
            </w:r>
          </w:p>
        </w:tc>
        <w:tc>
          <w:tcPr>
            <w:tcW w:w="900" w:type="dxa"/>
            <w:tcBorders>
              <w:bottom w:val="single" w:sz="6" w:space="0" w:color="000000"/>
              <w:right w:val="single" w:sz="6" w:space="0" w:color="000000"/>
            </w:tcBorders>
            <w:tcMar>
              <w:top w:w="40" w:type="dxa"/>
              <w:left w:w="40" w:type="dxa"/>
              <w:bottom w:w="40" w:type="dxa"/>
              <w:right w:w="40" w:type="dxa"/>
            </w:tcMar>
          </w:tcPr>
          <w:p w14:paraId="51F54A98"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4A3B7EA3"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45BC36F6" w14:textId="77777777">
        <w:trPr>
          <w:trHeight w:val="740"/>
        </w:trPr>
        <w:tc>
          <w:tcPr>
            <w:tcW w:w="690" w:type="dxa"/>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37471F1A"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4.1.2</w:t>
            </w:r>
          </w:p>
        </w:tc>
        <w:tc>
          <w:tcPr>
            <w:tcW w:w="855"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3E8106EE"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Sub-variable</w:t>
            </w:r>
          </w:p>
        </w:tc>
        <w:tc>
          <w:tcPr>
            <w:tcW w:w="1140"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76F3B42C"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Project preparation</w:t>
            </w:r>
          </w:p>
        </w:tc>
        <w:tc>
          <w:tcPr>
            <w:tcW w:w="1710" w:type="dxa"/>
            <w:tcBorders>
              <w:bottom w:val="single" w:sz="6" w:space="0" w:color="000000"/>
              <w:right w:val="single" w:sz="6" w:space="0" w:color="000000"/>
            </w:tcBorders>
            <w:shd w:val="clear" w:color="auto" w:fill="D9D9D9"/>
            <w:tcMar>
              <w:top w:w="40" w:type="dxa"/>
              <w:left w:w="40" w:type="dxa"/>
              <w:bottom w:w="40" w:type="dxa"/>
              <w:right w:w="40" w:type="dxa"/>
            </w:tcMar>
          </w:tcPr>
          <w:p w14:paraId="7E53E268"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855" w:type="dxa"/>
            <w:tcBorders>
              <w:bottom w:val="single" w:sz="6" w:space="0" w:color="000000"/>
              <w:right w:val="single" w:sz="6" w:space="0" w:color="000000"/>
            </w:tcBorders>
            <w:shd w:val="clear" w:color="auto" w:fill="D9D9D9"/>
            <w:tcMar>
              <w:top w:w="40" w:type="dxa"/>
              <w:left w:w="40" w:type="dxa"/>
              <w:bottom w:w="40" w:type="dxa"/>
              <w:right w:w="40" w:type="dxa"/>
            </w:tcMar>
          </w:tcPr>
          <w:p w14:paraId="7321BBAB" w14:textId="77777777" w:rsidR="002033A5" w:rsidRPr="00E619C8" w:rsidRDefault="002033A5">
            <w:pPr>
              <w:pBdr>
                <w:top w:val="nil"/>
                <w:left w:val="nil"/>
                <w:bottom w:val="nil"/>
                <w:right w:val="nil"/>
                <w:between w:val="nil"/>
              </w:pBdr>
              <w:spacing w:after="160" w:line="276" w:lineRule="auto"/>
              <w:rPr>
                <w:rFonts w:ascii="Arial" w:eastAsia="Arial" w:hAnsi="Arial" w:cs="Arial"/>
                <w:sz w:val="12"/>
                <w:szCs w:val="12"/>
              </w:rPr>
            </w:pPr>
          </w:p>
        </w:tc>
        <w:tc>
          <w:tcPr>
            <w:tcW w:w="1950" w:type="dxa"/>
            <w:tcBorders>
              <w:bottom w:val="single" w:sz="6" w:space="0" w:color="000000"/>
              <w:right w:val="single" w:sz="6" w:space="0" w:color="000000"/>
            </w:tcBorders>
            <w:shd w:val="clear" w:color="auto" w:fill="D9D9D9"/>
            <w:tcMar>
              <w:top w:w="40" w:type="dxa"/>
              <w:left w:w="40" w:type="dxa"/>
              <w:bottom w:w="40" w:type="dxa"/>
              <w:right w:w="40" w:type="dxa"/>
            </w:tcMar>
          </w:tcPr>
          <w:p w14:paraId="7029941E"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900" w:type="dxa"/>
            <w:tcBorders>
              <w:bottom w:val="single" w:sz="6" w:space="0" w:color="000000"/>
              <w:right w:val="single" w:sz="6" w:space="0" w:color="000000"/>
            </w:tcBorders>
            <w:shd w:val="clear" w:color="auto" w:fill="D9D9D9"/>
            <w:tcMar>
              <w:top w:w="40" w:type="dxa"/>
              <w:left w:w="40" w:type="dxa"/>
              <w:bottom w:w="40" w:type="dxa"/>
              <w:right w:w="40" w:type="dxa"/>
            </w:tcMar>
          </w:tcPr>
          <w:p w14:paraId="06242CA0"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0.15</w:t>
            </w:r>
          </w:p>
        </w:tc>
        <w:tc>
          <w:tcPr>
            <w:tcW w:w="930"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34D0B4FE"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 xml:space="preserve"> </w:t>
            </w:r>
          </w:p>
        </w:tc>
      </w:tr>
      <w:tr w:rsidR="002033A5" w:rsidRPr="00E619C8" w14:paraId="2722E1F0" w14:textId="77777777">
        <w:trPr>
          <w:trHeight w:val="66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095482B"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4.1.2.1</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59FE7A6D"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12AB9B84"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Environmental impact</w:t>
            </w:r>
          </w:p>
        </w:tc>
        <w:tc>
          <w:tcPr>
            <w:tcW w:w="1710" w:type="dxa"/>
            <w:tcBorders>
              <w:bottom w:val="single" w:sz="6" w:space="0" w:color="000000"/>
              <w:right w:val="single" w:sz="6" w:space="0" w:color="000000"/>
            </w:tcBorders>
            <w:tcMar>
              <w:top w:w="40" w:type="dxa"/>
              <w:left w:w="40" w:type="dxa"/>
              <w:bottom w:w="40" w:type="dxa"/>
              <w:right w:w="40" w:type="dxa"/>
            </w:tcMar>
          </w:tcPr>
          <w:p w14:paraId="5C79CA5A" w14:textId="6BF9E8E5"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A document that identifies, evaluates and describes the environmental impacts produced by the project on its surroundings is available</w:t>
            </w:r>
            <w:r w:rsidR="000A600E">
              <w:rPr>
                <w:rFonts w:ascii="Arial" w:eastAsia="Arial" w:hAnsi="Arial" w:cs="Arial"/>
                <w:sz w:val="12"/>
                <w:szCs w:val="12"/>
              </w:rPr>
              <w:t>, including reference to relevant additional studies (soil, topography, hydrogeology, etc.)</w:t>
            </w:r>
            <w:r w:rsidRPr="00E619C8">
              <w:rPr>
                <w:rFonts w:ascii="Arial" w:eastAsia="Arial" w:hAnsi="Arial" w:cs="Arial"/>
                <w:sz w:val="12"/>
                <w:szCs w:val="12"/>
              </w:rPr>
              <w:t>.)</w:t>
            </w:r>
          </w:p>
        </w:tc>
        <w:tc>
          <w:tcPr>
            <w:tcW w:w="855" w:type="dxa"/>
            <w:tcBorders>
              <w:bottom w:val="single" w:sz="6" w:space="0" w:color="000000"/>
              <w:right w:val="single" w:sz="6" w:space="0" w:color="000000"/>
            </w:tcBorders>
            <w:tcMar>
              <w:top w:w="40" w:type="dxa"/>
              <w:left w:w="40" w:type="dxa"/>
              <w:bottom w:w="40" w:type="dxa"/>
              <w:right w:w="40" w:type="dxa"/>
            </w:tcMar>
          </w:tcPr>
          <w:p w14:paraId="4754CFC3"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Project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1BB3495A"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available; 3 = Only a summary is available; 5 = The document is available, is clear and comprehensive.</w:t>
            </w:r>
          </w:p>
        </w:tc>
        <w:tc>
          <w:tcPr>
            <w:tcW w:w="900" w:type="dxa"/>
            <w:tcBorders>
              <w:bottom w:val="single" w:sz="6" w:space="0" w:color="000000"/>
              <w:right w:val="single" w:sz="6" w:space="0" w:color="000000"/>
            </w:tcBorders>
            <w:tcMar>
              <w:top w:w="40" w:type="dxa"/>
              <w:left w:w="40" w:type="dxa"/>
              <w:bottom w:w="40" w:type="dxa"/>
              <w:right w:w="40" w:type="dxa"/>
            </w:tcMar>
          </w:tcPr>
          <w:p w14:paraId="4811CF8C"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0.3</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6E53FD22"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25070F57" w14:textId="77777777">
        <w:trPr>
          <w:trHeight w:val="22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0426CEA"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4.1.2.2</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0F58ED61"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619767B2"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Land and settlement impact</w:t>
            </w:r>
          </w:p>
        </w:tc>
        <w:tc>
          <w:tcPr>
            <w:tcW w:w="1710" w:type="dxa"/>
            <w:tcBorders>
              <w:bottom w:val="single" w:sz="6" w:space="0" w:color="000000"/>
              <w:right w:val="single" w:sz="6" w:space="0" w:color="000000"/>
            </w:tcBorders>
            <w:tcMar>
              <w:top w:w="40" w:type="dxa"/>
              <w:left w:w="40" w:type="dxa"/>
              <w:bottom w:w="40" w:type="dxa"/>
              <w:right w:w="40" w:type="dxa"/>
            </w:tcMar>
          </w:tcPr>
          <w:p w14:paraId="08720E7C"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A document that identifies, assesses and describes the impacts on human settlements and population centres, produced by the project, is available.</w:t>
            </w:r>
          </w:p>
        </w:tc>
        <w:tc>
          <w:tcPr>
            <w:tcW w:w="855" w:type="dxa"/>
            <w:tcBorders>
              <w:bottom w:val="single" w:sz="6" w:space="0" w:color="000000"/>
              <w:right w:val="single" w:sz="6" w:space="0" w:color="000000"/>
            </w:tcBorders>
            <w:tcMar>
              <w:top w:w="40" w:type="dxa"/>
              <w:left w:w="40" w:type="dxa"/>
              <w:bottom w:w="40" w:type="dxa"/>
              <w:right w:w="40" w:type="dxa"/>
            </w:tcMar>
          </w:tcPr>
          <w:p w14:paraId="1AA2698A"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Project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63B79957"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available; 3 = Only a summary is available; 5 = The document is available, is clear and comprehensive.</w:t>
            </w:r>
          </w:p>
        </w:tc>
        <w:tc>
          <w:tcPr>
            <w:tcW w:w="900" w:type="dxa"/>
            <w:tcBorders>
              <w:bottom w:val="single" w:sz="6" w:space="0" w:color="000000"/>
              <w:right w:val="single" w:sz="6" w:space="0" w:color="000000"/>
            </w:tcBorders>
            <w:tcMar>
              <w:top w:w="40" w:type="dxa"/>
              <w:left w:w="40" w:type="dxa"/>
              <w:bottom w:w="40" w:type="dxa"/>
              <w:right w:w="40" w:type="dxa"/>
            </w:tcMar>
          </w:tcPr>
          <w:p w14:paraId="15828004"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0.3</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4A75D206"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716DE6DE" w14:textId="77777777">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AE44A4F"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4.1.2.3</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43037A09"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776D9417"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Contact details</w:t>
            </w:r>
          </w:p>
        </w:tc>
        <w:tc>
          <w:tcPr>
            <w:tcW w:w="1710" w:type="dxa"/>
            <w:tcBorders>
              <w:bottom w:val="single" w:sz="6" w:space="0" w:color="000000"/>
              <w:right w:val="single" w:sz="6" w:space="0" w:color="000000"/>
            </w:tcBorders>
            <w:tcMar>
              <w:top w:w="40" w:type="dxa"/>
              <w:left w:w="40" w:type="dxa"/>
              <w:bottom w:w="40" w:type="dxa"/>
              <w:right w:w="40" w:type="dxa"/>
            </w:tcMar>
          </w:tcPr>
          <w:p w14:paraId="41D73AFB"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Information identifies the contact details of the officer responsible for the project in the procuring entity.</w:t>
            </w:r>
          </w:p>
        </w:tc>
        <w:tc>
          <w:tcPr>
            <w:tcW w:w="855" w:type="dxa"/>
            <w:tcBorders>
              <w:bottom w:val="single" w:sz="6" w:space="0" w:color="000000"/>
              <w:right w:val="single" w:sz="6" w:space="0" w:color="000000"/>
            </w:tcBorders>
            <w:tcMar>
              <w:top w:w="40" w:type="dxa"/>
              <w:left w:w="40" w:type="dxa"/>
              <w:bottom w:w="40" w:type="dxa"/>
              <w:right w:w="40" w:type="dxa"/>
            </w:tcMar>
          </w:tcPr>
          <w:p w14:paraId="78FE75FD"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Project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55015DB3"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impossible to know who is responsible; 2 = Only names are available; 3 = Only names and positions are available; 5 = All names, positions and contact information are available.</w:t>
            </w:r>
          </w:p>
        </w:tc>
        <w:tc>
          <w:tcPr>
            <w:tcW w:w="900" w:type="dxa"/>
            <w:tcBorders>
              <w:bottom w:val="single" w:sz="6" w:space="0" w:color="000000"/>
              <w:right w:val="single" w:sz="6" w:space="0" w:color="000000"/>
            </w:tcBorders>
            <w:tcMar>
              <w:top w:w="40" w:type="dxa"/>
              <w:left w:w="40" w:type="dxa"/>
              <w:bottom w:w="40" w:type="dxa"/>
              <w:right w:w="40" w:type="dxa"/>
            </w:tcMar>
          </w:tcPr>
          <w:p w14:paraId="3074805C"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006D0538"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36A6F503" w14:textId="77777777">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03ED554"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4.1.2.4</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258AAE24"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54475E83"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Project budget and date of approval</w:t>
            </w:r>
          </w:p>
        </w:tc>
        <w:tc>
          <w:tcPr>
            <w:tcW w:w="1710" w:type="dxa"/>
            <w:tcBorders>
              <w:bottom w:val="single" w:sz="6" w:space="0" w:color="000000"/>
              <w:right w:val="single" w:sz="6" w:space="0" w:color="000000"/>
            </w:tcBorders>
            <w:tcMar>
              <w:top w:w="40" w:type="dxa"/>
              <w:left w:w="40" w:type="dxa"/>
              <w:bottom w:w="40" w:type="dxa"/>
              <w:right w:w="40" w:type="dxa"/>
            </w:tcMar>
          </w:tcPr>
          <w:p w14:paraId="5101B3B6"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total required budget for the development of the project and its date of approval are available.</w:t>
            </w:r>
          </w:p>
        </w:tc>
        <w:tc>
          <w:tcPr>
            <w:tcW w:w="855" w:type="dxa"/>
            <w:tcBorders>
              <w:bottom w:val="single" w:sz="6" w:space="0" w:color="000000"/>
              <w:right w:val="single" w:sz="6" w:space="0" w:color="000000"/>
            </w:tcBorders>
            <w:tcMar>
              <w:top w:w="40" w:type="dxa"/>
              <w:left w:w="40" w:type="dxa"/>
              <w:bottom w:w="40" w:type="dxa"/>
              <w:right w:w="40" w:type="dxa"/>
            </w:tcMar>
          </w:tcPr>
          <w:p w14:paraId="49582B14"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Project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56796F90"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They are not available; 3 = Only one of the two is available; 5 = Both are available.</w:t>
            </w:r>
          </w:p>
        </w:tc>
        <w:tc>
          <w:tcPr>
            <w:tcW w:w="900" w:type="dxa"/>
            <w:tcBorders>
              <w:bottom w:val="single" w:sz="6" w:space="0" w:color="000000"/>
              <w:right w:val="single" w:sz="6" w:space="0" w:color="000000"/>
            </w:tcBorders>
            <w:tcMar>
              <w:top w:w="40" w:type="dxa"/>
              <w:left w:w="40" w:type="dxa"/>
              <w:bottom w:w="40" w:type="dxa"/>
              <w:right w:w="40" w:type="dxa"/>
            </w:tcMar>
          </w:tcPr>
          <w:p w14:paraId="0BB9C43A"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70A9A189"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15317900" w14:textId="77777777">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E1251AD"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4.1.2.5</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5FD42EAA"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6A0F2146"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Funding sources</w:t>
            </w:r>
          </w:p>
        </w:tc>
        <w:tc>
          <w:tcPr>
            <w:tcW w:w="1710" w:type="dxa"/>
            <w:tcBorders>
              <w:bottom w:val="single" w:sz="6" w:space="0" w:color="000000"/>
              <w:right w:val="single" w:sz="6" w:space="0" w:color="000000"/>
            </w:tcBorders>
            <w:tcMar>
              <w:top w:w="40" w:type="dxa"/>
              <w:left w:w="40" w:type="dxa"/>
              <w:bottom w:w="40" w:type="dxa"/>
              <w:right w:w="40" w:type="dxa"/>
            </w:tcMar>
          </w:tcPr>
          <w:p w14:paraId="617C5B63" w14:textId="4A6888EA"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The sources </w:t>
            </w:r>
            <w:r w:rsidR="000A600E">
              <w:rPr>
                <w:rFonts w:ascii="Arial" w:eastAsia="Arial" w:hAnsi="Arial" w:cs="Arial"/>
                <w:sz w:val="12"/>
                <w:szCs w:val="12"/>
              </w:rPr>
              <w:t xml:space="preserve">from which the funds are coming </w:t>
            </w:r>
            <w:r w:rsidRPr="00E619C8">
              <w:rPr>
                <w:rFonts w:ascii="Arial" w:eastAsia="Arial" w:hAnsi="Arial" w:cs="Arial"/>
                <w:sz w:val="12"/>
                <w:szCs w:val="12"/>
              </w:rPr>
              <w:t>are identified (e.g. from the national budget, cooperation, multilateral organisations, or others).</w:t>
            </w:r>
          </w:p>
        </w:tc>
        <w:tc>
          <w:tcPr>
            <w:tcW w:w="855" w:type="dxa"/>
            <w:tcBorders>
              <w:bottom w:val="single" w:sz="6" w:space="0" w:color="000000"/>
              <w:right w:val="single" w:sz="6" w:space="0" w:color="000000"/>
            </w:tcBorders>
            <w:tcMar>
              <w:top w:w="40" w:type="dxa"/>
              <w:left w:w="40" w:type="dxa"/>
              <w:bottom w:w="40" w:type="dxa"/>
              <w:right w:w="40" w:type="dxa"/>
            </w:tcMar>
          </w:tcPr>
          <w:p w14:paraId="7ACAC073"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Project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4F45F3A9"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available; 5 = It is available</w:t>
            </w:r>
          </w:p>
        </w:tc>
        <w:tc>
          <w:tcPr>
            <w:tcW w:w="900" w:type="dxa"/>
            <w:tcBorders>
              <w:bottom w:val="single" w:sz="6" w:space="0" w:color="000000"/>
              <w:right w:val="single" w:sz="6" w:space="0" w:color="000000"/>
            </w:tcBorders>
            <w:tcMar>
              <w:top w:w="40" w:type="dxa"/>
              <w:left w:w="40" w:type="dxa"/>
              <w:bottom w:w="40" w:type="dxa"/>
              <w:right w:w="40" w:type="dxa"/>
            </w:tcMar>
          </w:tcPr>
          <w:p w14:paraId="49A18C36"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558CCA15"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56DAF98C" w14:textId="77777777">
        <w:trPr>
          <w:trHeight w:val="135"/>
        </w:trPr>
        <w:tc>
          <w:tcPr>
            <w:tcW w:w="690" w:type="dxa"/>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25FBA1A9"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4.1.3</w:t>
            </w:r>
          </w:p>
        </w:tc>
        <w:tc>
          <w:tcPr>
            <w:tcW w:w="855"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41758DC3"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Sub-variable</w:t>
            </w:r>
          </w:p>
        </w:tc>
        <w:tc>
          <w:tcPr>
            <w:tcW w:w="1140"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55CC429D"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Construction contract procurement</w:t>
            </w:r>
          </w:p>
        </w:tc>
        <w:tc>
          <w:tcPr>
            <w:tcW w:w="1710" w:type="dxa"/>
            <w:tcBorders>
              <w:bottom w:val="single" w:sz="6" w:space="0" w:color="000000"/>
              <w:right w:val="single" w:sz="6" w:space="0" w:color="000000"/>
            </w:tcBorders>
            <w:shd w:val="clear" w:color="auto" w:fill="D9D9D9"/>
            <w:tcMar>
              <w:top w:w="40" w:type="dxa"/>
              <w:left w:w="40" w:type="dxa"/>
              <w:bottom w:w="40" w:type="dxa"/>
              <w:right w:w="40" w:type="dxa"/>
            </w:tcMar>
          </w:tcPr>
          <w:p w14:paraId="18245389"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855" w:type="dxa"/>
            <w:tcBorders>
              <w:bottom w:val="single" w:sz="6" w:space="0" w:color="000000"/>
              <w:right w:val="single" w:sz="6" w:space="0" w:color="000000"/>
            </w:tcBorders>
            <w:shd w:val="clear" w:color="auto" w:fill="D9D9D9"/>
            <w:tcMar>
              <w:top w:w="40" w:type="dxa"/>
              <w:left w:w="40" w:type="dxa"/>
              <w:bottom w:w="40" w:type="dxa"/>
              <w:right w:w="40" w:type="dxa"/>
            </w:tcMar>
          </w:tcPr>
          <w:p w14:paraId="44A561B9" w14:textId="77777777" w:rsidR="002033A5" w:rsidRPr="00E619C8" w:rsidRDefault="002033A5">
            <w:pPr>
              <w:pBdr>
                <w:top w:val="nil"/>
                <w:left w:val="nil"/>
                <w:bottom w:val="nil"/>
                <w:right w:val="nil"/>
                <w:between w:val="nil"/>
              </w:pBdr>
              <w:spacing w:after="160" w:line="276" w:lineRule="auto"/>
              <w:rPr>
                <w:rFonts w:ascii="Arial" w:eastAsia="Arial" w:hAnsi="Arial" w:cs="Arial"/>
                <w:sz w:val="12"/>
                <w:szCs w:val="12"/>
              </w:rPr>
            </w:pPr>
          </w:p>
        </w:tc>
        <w:tc>
          <w:tcPr>
            <w:tcW w:w="1950" w:type="dxa"/>
            <w:tcBorders>
              <w:bottom w:val="single" w:sz="6" w:space="0" w:color="000000"/>
              <w:right w:val="single" w:sz="6" w:space="0" w:color="000000"/>
            </w:tcBorders>
            <w:shd w:val="clear" w:color="auto" w:fill="D9D9D9"/>
            <w:tcMar>
              <w:top w:w="40" w:type="dxa"/>
              <w:left w:w="40" w:type="dxa"/>
              <w:bottom w:w="40" w:type="dxa"/>
              <w:right w:w="40" w:type="dxa"/>
            </w:tcMar>
          </w:tcPr>
          <w:p w14:paraId="17A2BD77"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900" w:type="dxa"/>
            <w:tcBorders>
              <w:bottom w:val="single" w:sz="6" w:space="0" w:color="000000"/>
              <w:right w:val="single" w:sz="6" w:space="0" w:color="000000"/>
            </w:tcBorders>
            <w:shd w:val="clear" w:color="auto" w:fill="D9D9D9"/>
            <w:tcMar>
              <w:top w:w="40" w:type="dxa"/>
              <w:left w:w="40" w:type="dxa"/>
              <w:bottom w:w="40" w:type="dxa"/>
              <w:right w:w="40" w:type="dxa"/>
            </w:tcMar>
          </w:tcPr>
          <w:p w14:paraId="594B4E1A"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0.3</w:t>
            </w:r>
          </w:p>
        </w:tc>
        <w:tc>
          <w:tcPr>
            <w:tcW w:w="930"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39002D69"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 xml:space="preserve"> </w:t>
            </w:r>
          </w:p>
        </w:tc>
      </w:tr>
      <w:tr w:rsidR="002033A5" w:rsidRPr="00E619C8" w14:paraId="72CE44C1" w14:textId="77777777">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9A458FC"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4.1.3.1</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20F68F52"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2DE4F31D"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Procuring entity and contact details</w:t>
            </w:r>
          </w:p>
        </w:tc>
        <w:tc>
          <w:tcPr>
            <w:tcW w:w="1710" w:type="dxa"/>
            <w:tcBorders>
              <w:bottom w:val="single" w:sz="6" w:space="0" w:color="000000"/>
              <w:right w:val="single" w:sz="6" w:space="0" w:color="000000"/>
            </w:tcBorders>
            <w:tcMar>
              <w:top w:w="40" w:type="dxa"/>
              <w:left w:w="40" w:type="dxa"/>
              <w:bottom w:w="40" w:type="dxa"/>
              <w:right w:w="40" w:type="dxa"/>
            </w:tcMar>
          </w:tcPr>
          <w:p w14:paraId="434F6D76"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entity in charge of contracting the construction of the infrastructure project and its contact details are clearly identified.</w:t>
            </w:r>
          </w:p>
        </w:tc>
        <w:tc>
          <w:tcPr>
            <w:tcW w:w="855" w:type="dxa"/>
            <w:tcBorders>
              <w:bottom w:val="single" w:sz="6" w:space="0" w:color="000000"/>
              <w:right w:val="single" w:sz="6" w:space="0" w:color="000000"/>
            </w:tcBorders>
            <w:tcMar>
              <w:top w:w="40" w:type="dxa"/>
              <w:left w:w="40" w:type="dxa"/>
              <w:bottom w:w="40" w:type="dxa"/>
              <w:right w:w="40" w:type="dxa"/>
            </w:tcMar>
          </w:tcPr>
          <w:p w14:paraId="59271E1C"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4CBAF4A2"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They are not identified; 3 = Only one of the two data points is identified; 5 = Both are identified.</w:t>
            </w:r>
          </w:p>
        </w:tc>
        <w:tc>
          <w:tcPr>
            <w:tcW w:w="900" w:type="dxa"/>
            <w:tcBorders>
              <w:bottom w:val="single" w:sz="6" w:space="0" w:color="000000"/>
              <w:right w:val="single" w:sz="6" w:space="0" w:color="000000"/>
            </w:tcBorders>
            <w:tcMar>
              <w:top w:w="40" w:type="dxa"/>
              <w:left w:w="40" w:type="dxa"/>
              <w:bottom w:w="40" w:type="dxa"/>
              <w:right w:w="40" w:type="dxa"/>
            </w:tcMar>
          </w:tcPr>
          <w:p w14:paraId="3B47CA3C"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4C264267"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78DF43D0" w14:textId="77777777">
        <w:trPr>
          <w:trHeight w:val="1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E308A0F"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4.1.3.2</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572D5B82"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021C6006"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Procurement process</w:t>
            </w:r>
          </w:p>
        </w:tc>
        <w:tc>
          <w:tcPr>
            <w:tcW w:w="1710" w:type="dxa"/>
            <w:tcBorders>
              <w:bottom w:val="single" w:sz="6" w:space="0" w:color="000000"/>
              <w:right w:val="single" w:sz="6" w:space="0" w:color="000000"/>
            </w:tcBorders>
            <w:tcMar>
              <w:top w:w="40" w:type="dxa"/>
              <w:left w:w="40" w:type="dxa"/>
              <w:bottom w:w="40" w:type="dxa"/>
              <w:right w:w="40" w:type="dxa"/>
            </w:tcMar>
          </w:tcPr>
          <w:p w14:paraId="159C78D6"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type of procurement process that was applied to award the contract is clearly identified (e.g. international bidding, national bidding).</w:t>
            </w:r>
          </w:p>
        </w:tc>
        <w:tc>
          <w:tcPr>
            <w:tcW w:w="855" w:type="dxa"/>
            <w:tcBorders>
              <w:bottom w:val="single" w:sz="6" w:space="0" w:color="000000"/>
              <w:right w:val="single" w:sz="6" w:space="0" w:color="000000"/>
            </w:tcBorders>
            <w:tcMar>
              <w:top w:w="40" w:type="dxa"/>
              <w:left w:w="40" w:type="dxa"/>
              <w:bottom w:w="40" w:type="dxa"/>
              <w:right w:w="40" w:type="dxa"/>
            </w:tcMar>
          </w:tcPr>
          <w:p w14:paraId="2ED45521"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22D2A3FD"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identified; 5 = It is identified.</w:t>
            </w:r>
          </w:p>
        </w:tc>
        <w:tc>
          <w:tcPr>
            <w:tcW w:w="900" w:type="dxa"/>
            <w:tcBorders>
              <w:bottom w:val="single" w:sz="6" w:space="0" w:color="000000"/>
              <w:right w:val="single" w:sz="6" w:space="0" w:color="000000"/>
            </w:tcBorders>
            <w:tcMar>
              <w:top w:w="40" w:type="dxa"/>
              <w:left w:w="40" w:type="dxa"/>
              <w:bottom w:w="40" w:type="dxa"/>
              <w:right w:w="40" w:type="dxa"/>
            </w:tcMar>
          </w:tcPr>
          <w:p w14:paraId="05E9E1F4"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788DF43A"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2A511A16" w14:textId="77777777">
        <w:trPr>
          <w:trHeight w:val="21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8396E3C"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4.1.3.3</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3E46CE63"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3D687698"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Number of firms bidding</w:t>
            </w:r>
          </w:p>
        </w:tc>
        <w:tc>
          <w:tcPr>
            <w:tcW w:w="1710" w:type="dxa"/>
            <w:tcBorders>
              <w:bottom w:val="single" w:sz="6" w:space="0" w:color="000000"/>
              <w:right w:val="single" w:sz="6" w:space="0" w:color="000000"/>
            </w:tcBorders>
            <w:tcMar>
              <w:top w:w="40" w:type="dxa"/>
              <w:left w:w="40" w:type="dxa"/>
              <w:bottom w:w="40" w:type="dxa"/>
              <w:right w:w="40" w:type="dxa"/>
            </w:tcMar>
          </w:tcPr>
          <w:p w14:paraId="6B9A7BC2"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number of companies participating in the bidding process for the infrastructure construction is clearly identified.</w:t>
            </w:r>
          </w:p>
        </w:tc>
        <w:tc>
          <w:tcPr>
            <w:tcW w:w="855" w:type="dxa"/>
            <w:tcBorders>
              <w:bottom w:val="single" w:sz="6" w:space="0" w:color="000000"/>
              <w:right w:val="single" w:sz="6" w:space="0" w:color="000000"/>
            </w:tcBorders>
            <w:tcMar>
              <w:top w:w="40" w:type="dxa"/>
              <w:left w:w="40" w:type="dxa"/>
              <w:bottom w:w="40" w:type="dxa"/>
              <w:right w:w="40" w:type="dxa"/>
            </w:tcMar>
          </w:tcPr>
          <w:p w14:paraId="208AB9D0"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05072F77"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identified; 5 = It is identified.</w:t>
            </w:r>
          </w:p>
        </w:tc>
        <w:tc>
          <w:tcPr>
            <w:tcW w:w="900" w:type="dxa"/>
            <w:tcBorders>
              <w:bottom w:val="single" w:sz="6" w:space="0" w:color="000000"/>
              <w:right w:val="single" w:sz="6" w:space="0" w:color="000000"/>
            </w:tcBorders>
            <w:tcMar>
              <w:top w:w="40" w:type="dxa"/>
              <w:left w:w="40" w:type="dxa"/>
              <w:bottom w:w="40" w:type="dxa"/>
              <w:right w:w="40" w:type="dxa"/>
            </w:tcMar>
          </w:tcPr>
          <w:p w14:paraId="7FB4A5F8"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50500EB5"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4AB10474" w14:textId="77777777">
        <w:trPr>
          <w:trHeight w:val="75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46279CA"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4.1.3.4</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50E6EBE9"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5F525F5"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type</w:t>
            </w:r>
          </w:p>
        </w:tc>
        <w:tc>
          <w:tcPr>
            <w:tcW w:w="1710" w:type="dxa"/>
            <w:tcBorders>
              <w:bottom w:val="single" w:sz="6" w:space="0" w:color="000000"/>
              <w:right w:val="single" w:sz="6" w:space="0" w:color="000000"/>
            </w:tcBorders>
            <w:tcMar>
              <w:top w:w="40" w:type="dxa"/>
              <w:left w:w="40" w:type="dxa"/>
              <w:bottom w:w="40" w:type="dxa"/>
              <w:right w:w="40" w:type="dxa"/>
            </w:tcMar>
          </w:tcPr>
          <w:p w14:paraId="68BDF973"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type of contract to be signed is clearly identified (e.g. design, construction, supervision).</w:t>
            </w:r>
          </w:p>
        </w:tc>
        <w:tc>
          <w:tcPr>
            <w:tcW w:w="855" w:type="dxa"/>
            <w:tcBorders>
              <w:bottom w:val="single" w:sz="6" w:space="0" w:color="000000"/>
              <w:right w:val="single" w:sz="6" w:space="0" w:color="000000"/>
            </w:tcBorders>
            <w:tcMar>
              <w:top w:w="40" w:type="dxa"/>
              <w:left w:w="40" w:type="dxa"/>
              <w:bottom w:w="40" w:type="dxa"/>
              <w:right w:w="40" w:type="dxa"/>
            </w:tcMar>
          </w:tcPr>
          <w:p w14:paraId="5B179BA0"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33BA23B7"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identified; 5 = It is identified.</w:t>
            </w:r>
          </w:p>
        </w:tc>
        <w:tc>
          <w:tcPr>
            <w:tcW w:w="900" w:type="dxa"/>
            <w:tcBorders>
              <w:bottom w:val="single" w:sz="6" w:space="0" w:color="000000"/>
              <w:right w:val="single" w:sz="6" w:space="0" w:color="000000"/>
            </w:tcBorders>
            <w:tcMar>
              <w:top w:w="40" w:type="dxa"/>
              <w:left w:w="40" w:type="dxa"/>
              <w:bottom w:w="40" w:type="dxa"/>
              <w:right w:w="40" w:type="dxa"/>
            </w:tcMar>
          </w:tcPr>
          <w:p w14:paraId="06F8EE1D"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16D37EB8"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4869B5FA" w14:textId="77777777">
        <w:trPr>
          <w:trHeight w:val="267"/>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404A50B"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4.1.3.5</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413C54BD"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28BA3E9"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title</w:t>
            </w:r>
          </w:p>
        </w:tc>
        <w:tc>
          <w:tcPr>
            <w:tcW w:w="1710" w:type="dxa"/>
            <w:tcBorders>
              <w:bottom w:val="single" w:sz="6" w:space="0" w:color="000000"/>
              <w:right w:val="single" w:sz="6" w:space="0" w:color="000000"/>
            </w:tcBorders>
            <w:tcMar>
              <w:top w:w="40" w:type="dxa"/>
              <w:left w:w="40" w:type="dxa"/>
              <w:bottom w:w="40" w:type="dxa"/>
              <w:right w:w="40" w:type="dxa"/>
            </w:tcMar>
          </w:tcPr>
          <w:p w14:paraId="021C05E7"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official name of the signed contract is clearly identified.</w:t>
            </w:r>
          </w:p>
        </w:tc>
        <w:tc>
          <w:tcPr>
            <w:tcW w:w="855" w:type="dxa"/>
            <w:tcBorders>
              <w:bottom w:val="single" w:sz="6" w:space="0" w:color="000000"/>
              <w:right w:val="single" w:sz="6" w:space="0" w:color="000000"/>
            </w:tcBorders>
            <w:tcMar>
              <w:top w:w="40" w:type="dxa"/>
              <w:left w:w="40" w:type="dxa"/>
              <w:bottom w:w="40" w:type="dxa"/>
              <w:right w:w="40" w:type="dxa"/>
            </w:tcMar>
          </w:tcPr>
          <w:p w14:paraId="081B23BF"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14370C0A"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identified; 5 = It is identified.</w:t>
            </w:r>
          </w:p>
        </w:tc>
        <w:tc>
          <w:tcPr>
            <w:tcW w:w="900" w:type="dxa"/>
            <w:tcBorders>
              <w:bottom w:val="single" w:sz="6" w:space="0" w:color="000000"/>
              <w:right w:val="single" w:sz="6" w:space="0" w:color="000000"/>
            </w:tcBorders>
            <w:tcMar>
              <w:top w:w="40" w:type="dxa"/>
              <w:left w:w="40" w:type="dxa"/>
              <w:bottom w:w="40" w:type="dxa"/>
              <w:right w:w="40" w:type="dxa"/>
            </w:tcMar>
          </w:tcPr>
          <w:p w14:paraId="1ED5A834"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05A28F8D" w14:textId="77777777" w:rsidR="002033A5" w:rsidRPr="00E619C8" w:rsidRDefault="00E113EC">
            <w:pPr>
              <w:spacing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13418F2F" w14:textId="77777777">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A771E4A"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4.1.3.6</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66D1AC4F"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14CC5215"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price</w:t>
            </w:r>
          </w:p>
        </w:tc>
        <w:tc>
          <w:tcPr>
            <w:tcW w:w="1710" w:type="dxa"/>
            <w:tcBorders>
              <w:bottom w:val="single" w:sz="6" w:space="0" w:color="000000"/>
              <w:right w:val="single" w:sz="6" w:space="0" w:color="000000"/>
            </w:tcBorders>
            <w:tcMar>
              <w:top w:w="40" w:type="dxa"/>
              <w:left w:w="40" w:type="dxa"/>
              <w:bottom w:w="40" w:type="dxa"/>
              <w:right w:w="40" w:type="dxa"/>
            </w:tcMar>
          </w:tcPr>
          <w:p w14:paraId="7D759B02"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final amount of the construction contract is clearly stated.</w:t>
            </w:r>
          </w:p>
        </w:tc>
        <w:tc>
          <w:tcPr>
            <w:tcW w:w="855" w:type="dxa"/>
            <w:tcBorders>
              <w:bottom w:val="single" w:sz="6" w:space="0" w:color="000000"/>
              <w:right w:val="single" w:sz="6" w:space="0" w:color="000000"/>
            </w:tcBorders>
            <w:tcMar>
              <w:top w:w="40" w:type="dxa"/>
              <w:left w:w="40" w:type="dxa"/>
              <w:bottom w:w="40" w:type="dxa"/>
              <w:right w:w="40" w:type="dxa"/>
            </w:tcMar>
          </w:tcPr>
          <w:p w14:paraId="23C8A273"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630CDFE1"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identified; 5 = It is identified.</w:t>
            </w:r>
          </w:p>
        </w:tc>
        <w:tc>
          <w:tcPr>
            <w:tcW w:w="900" w:type="dxa"/>
            <w:tcBorders>
              <w:bottom w:val="single" w:sz="6" w:space="0" w:color="000000"/>
              <w:right w:val="single" w:sz="6" w:space="0" w:color="000000"/>
            </w:tcBorders>
            <w:tcMar>
              <w:top w:w="40" w:type="dxa"/>
              <w:left w:w="40" w:type="dxa"/>
              <w:bottom w:w="40" w:type="dxa"/>
              <w:right w:w="40" w:type="dxa"/>
            </w:tcMar>
          </w:tcPr>
          <w:p w14:paraId="7FF5AD3A"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0F0378E4"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223A969A" w14:textId="77777777">
        <w:trPr>
          <w:trHeight w:val="89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51EB512"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4.1.3.7</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161559D2"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C237E71"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start date</w:t>
            </w:r>
          </w:p>
        </w:tc>
        <w:tc>
          <w:tcPr>
            <w:tcW w:w="1710" w:type="dxa"/>
            <w:tcBorders>
              <w:bottom w:val="single" w:sz="6" w:space="0" w:color="000000"/>
              <w:right w:val="single" w:sz="6" w:space="0" w:color="000000"/>
            </w:tcBorders>
            <w:tcMar>
              <w:top w:w="40" w:type="dxa"/>
              <w:left w:w="40" w:type="dxa"/>
              <w:bottom w:w="40" w:type="dxa"/>
              <w:right w:w="40" w:type="dxa"/>
            </w:tcMar>
          </w:tcPr>
          <w:p w14:paraId="08B694E3"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date when the construction contract started is clearly identified.</w:t>
            </w:r>
          </w:p>
        </w:tc>
        <w:tc>
          <w:tcPr>
            <w:tcW w:w="855" w:type="dxa"/>
            <w:tcBorders>
              <w:bottom w:val="single" w:sz="6" w:space="0" w:color="000000"/>
              <w:right w:val="single" w:sz="6" w:space="0" w:color="000000"/>
            </w:tcBorders>
            <w:tcMar>
              <w:top w:w="40" w:type="dxa"/>
              <w:left w:w="40" w:type="dxa"/>
              <w:bottom w:w="40" w:type="dxa"/>
              <w:right w:w="40" w:type="dxa"/>
            </w:tcMar>
          </w:tcPr>
          <w:p w14:paraId="5F7A8827"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7AC62924"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identified; 5 = It is identified.</w:t>
            </w:r>
          </w:p>
        </w:tc>
        <w:tc>
          <w:tcPr>
            <w:tcW w:w="900" w:type="dxa"/>
            <w:tcBorders>
              <w:bottom w:val="single" w:sz="6" w:space="0" w:color="000000"/>
              <w:right w:val="single" w:sz="6" w:space="0" w:color="000000"/>
            </w:tcBorders>
            <w:tcMar>
              <w:top w:w="40" w:type="dxa"/>
              <w:left w:w="40" w:type="dxa"/>
              <w:bottom w:w="40" w:type="dxa"/>
              <w:right w:w="40" w:type="dxa"/>
            </w:tcMar>
          </w:tcPr>
          <w:p w14:paraId="1F253647"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71A0005B"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6AB6D80B" w14:textId="77777777">
        <w:trPr>
          <w:trHeight w:val="34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CB048DE"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4.1.3.8</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51E84BF5"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57B6D1A4"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duration</w:t>
            </w:r>
          </w:p>
        </w:tc>
        <w:tc>
          <w:tcPr>
            <w:tcW w:w="1710" w:type="dxa"/>
            <w:tcBorders>
              <w:bottom w:val="single" w:sz="6" w:space="0" w:color="000000"/>
              <w:right w:val="single" w:sz="6" w:space="0" w:color="000000"/>
            </w:tcBorders>
            <w:tcMar>
              <w:top w:w="40" w:type="dxa"/>
              <w:left w:w="40" w:type="dxa"/>
              <w:bottom w:w="40" w:type="dxa"/>
              <w:right w:w="40" w:type="dxa"/>
            </w:tcMar>
          </w:tcPr>
          <w:p w14:paraId="1B95600A"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contract duration is clearly identified.</w:t>
            </w:r>
          </w:p>
        </w:tc>
        <w:tc>
          <w:tcPr>
            <w:tcW w:w="855" w:type="dxa"/>
            <w:tcBorders>
              <w:bottom w:val="single" w:sz="6" w:space="0" w:color="000000"/>
              <w:right w:val="single" w:sz="6" w:space="0" w:color="000000"/>
            </w:tcBorders>
            <w:tcMar>
              <w:top w:w="40" w:type="dxa"/>
              <w:left w:w="40" w:type="dxa"/>
              <w:bottom w:w="40" w:type="dxa"/>
              <w:right w:w="40" w:type="dxa"/>
            </w:tcMar>
          </w:tcPr>
          <w:p w14:paraId="4C9222D8"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1D4F8FB0"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identified; 5 = It is identified, either because it is clearly provided or because it can be calculated with a starting and ending date.</w:t>
            </w:r>
          </w:p>
        </w:tc>
        <w:tc>
          <w:tcPr>
            <w:tcW w:w="900" w:type="dxa"/>
            <w:tcBorders>
              <w:bottom w:val="single" w:sz="6" w:space="0" w:color="000000"/>
              <w:right w:val="single" w:sz="6" w:space="0" w:color="000000"/>
            </w:tcBorders>
            <w:tcMar>
              <w:top w:w="40" w:type="dxa"/>
              <w:left w:w="40" w:type="dxa"/>
              <w:bottom w:w="40" w:type="dxa"/>
              <w:right w:w="40" w:type="dxa"/>
            </w:tcMar>
          </w:tcPr>
          <w:p w14:paraId="104816E7"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38A345BB"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1E71A0D6" w14:textId="77777777">
        <w:trPr>
          <w:trHeight w:val="31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38B1848"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4.1.3.9</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0A2F466B"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52AD3C8E"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Contractor(s)</w:t>
            </w:r>
          </w:p>
        </w:tc>
        <w:tc>
          <w:tcPr>
            <w:tcW w:w="1710" w:type="dxa"/>
            <w:tcBorders>
              <w:bottom w:val="single" w:sz="6" w:space="0" w:color="000000"/>
              <w:right w:val="single" w:sz="6" w:space="0" w:color="000000"/>
            </w:tcBorders>
            <w:tcMar>
              <w:top w:w="40" w:type="dxa"/>
              <w:left w:w="40" w:type="dxa"/>
              <w:bottom w:w="40" w:type="dxa"/>
              <w:right w:w="40" w:type="dxa"/>
            </w:tcMar>
          </w:tcPr>
          <w:p w14:paraId="5AF8EA94"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w:t>
            </w:r>
          </w:p>
          <w:p w14:paraId="1A4C0530"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name</w:t>
            </w:r>
          </w:p>
          <w:p w14:paraId="716FB89C"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identification number</w:t>
            </w:r>
          </w:p>
          <w:p w14:paraId="660A1F06"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contact information</w:t>
            </w:r>
          </w:p>
          <w:p w14:paraId="2D5507AA"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of the winning contractor is clearly identified.</w:t>
            </w:r>
          </w:p>
        </w:tc>
        <w:tc>
          <w:tcPr>
            <w:tcW w:w="855" w:type="dxa"/>
            <w:tcBorders>
              <w:bottom w:val="single" w:sz="6" w:space="0" w:color="000000"/>
              <w:right w:val="single" w:sz="6" w:space="0" w:color="000000"/>
            </w:tcBorders>
            <w:tcMar>
              <w:top w:w="40" w:type="dxa"/>
              <w:left w:w="40" w:type="dxa"/>
              <w:bottom w:w="40" w:type="dxa"/>
              <w:right w:w="40" w:type="dxa"/>
            </w:tcMar>
          </w:tcPr>
          <w:p w14:paraId="3213E079"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3F974205"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They are not identified; 2 = Only one of the three data points are identified; 3 = Two of the three data points are identified; 5 = The three data points are identified.</w:t>
            </w:r>
          </w:p>
        </w:tc>
        <w:tc>
          <w:tcPr>
            <w:tcW w:w="900" w:type="dxa"/>
            <w:tcBorders>
              <w:bottom w:val="single" w:sz="6" w:space="0" w:color="000000"/>
              <w:right w:val="single" w:sz="6" w:space="0" w:color="000000"/>
            </w:tcBorders>
            <w:tcMar>
              <w:top w:w="40" w:type="dxa"/>
              <w:left w:w="40" w:type="dxa"/>
              <w:bottom w:w="40" w:type="dxa"/>
              <w:right w:w="40" w:type="dxa"/>
            </w:tcMar>
          </w:tcPr>
          <w:p w14:paraId="28CC9F45"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4D06F1A8"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267CE74F" w14:textId="77777777">
        <w:trPr>
          <w:trHeight w:val="13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833ED50"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4.1.3.10</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4B23D90C"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394A8A09"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scope of work</w:t>
            </w:r>
          </w:p>
        </w:tc>
        <w:tc>
          <w:tcPr>
            <w:tcW w:w="1710" w:type="dxa"/>
            <w:tcBorders>
              <w:bottom w:val="single" w:sz="6" w:space="0" w:color="000000"/>
              <w:right w:val="single" w:sz="6" w:space="0" w:color="000000"/>
            </w:tcBorders>
            <w:tcMar>
              <w:top w:w="40" w:type="dxa"/>
              <w:left w:w="40" w:type="dxa"/>
              <w:bottom w:w="40" w:type="dxa"/>
              <w:right w:w="40" w:type="dxa"/>
            </w:tcMar>
          </w:tcPr>
          <w:p w14:paraId="7B9E4B97" w14:textId="0B856C0E"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The description of the work, services and outputs (including type and quantity of units) that the firm has to provide under the signed contract </w:t>
            </w:r>
            <w:r w:rsidR="000A600E">
              <w:rPr>
                <w:rFonts w:ascii="Arial" w:eastAsia="Arial" w:hAnsi="Arial" w:cs="Arial"/>
                <w:sz w:val="12"/>
                <w:szCs w:val="12"/>
              </w:rPr>
              <w:t>is</w:t>
            </w:r>
            <w:r w:rsidRPr="00E619C8">
              <w:rPr>
                <w:rFonts w:ascii="Arial" w:eastAsia="Arial" w:hAnsi="Arial" w:cs="Arial"/>
                <w:sz w:val="12"/>
                <w:szCs w:val="12"/>
              </w:rPr>
              <w:t xml:space="preserve"> clearly identified.</w:t>
            </w:r>
          </w:p>
        </w:tc>
        <w:tc>
          <w:tcPr>
            <w:tcW w:w="855" w:type="dxa"/>
            <w:tcBorders>
              <w:bottom w:val="single" w:sz="6" w:space="0" w:color="000000"/>
              <w:right w:val="single" w:sz="6" w:space="0" w:color="000000"/>
            </w:tcBorders>
            <w:tcMar>
              <w:top w:w="40" w:type="dxa"/>
              <w:left w:w="40" w:type="dxa"/>
              <w:bottom w:w="40" w:type="dxa"/>
              <w:right w:w="40" w:type="dxa"/>
            </w:tcMar>
          </w:tcPr>
          <w:p w14:paraId="02C6D546"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20F083D2"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identified; 3 = It is identified but is not comprehensive; 5 = It is identified, clear and comprehensive.</w:t>
            </w:r>
          </w:p>
        </w:tc>
        <w:tc>
          <w:tcPr>
            <w:tcW w:w="900" w:type="dxa"/>
            <w:tcBorders>
              <w:bottom w:val="single" w:sz="6" w:space="0" w:color="000000"/>
              <w:right w:val="single" w:sz="6" w:space="0" w:color="000000"/>
            </w:tcBorders>
            <w:tcMar>
              <w:top w:w="40" w:type="dxa"/>
              <w:left w:w="40" w:type="dxa"/>
              <w:bottom w:w="40" w:type="dxa"/>
              <w:right w:w="40" w:type="dxa"/>
            </w:tcMar>
          </w:tcPr>
          <w:p w14:paraId="45FDDB45"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36D1B797"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3C50A150" w14:textId="77777777">
        <w:trPr>
          <w:trHeight w:val="890"/>
        </w:trPr>
        <w:tc>
          <w:tcPr>
            <w:tcW w:w="690" w:type="dxa"/>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20C2982B"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4.1.4</w:t>
            </w:r>
          </w:p>
        </w:tc>
        <w:tc>
          <w:tcPr>
            <w:tcW w:w="855"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6454749F"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Sub-variable</w:t>
            </w:r>
          </w:p>
        </w:tc>
        <w:tc>
          <w:tcPr>
            <w:tcW w:w="1140"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170AF126"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Supervision contract procurement</w:t>
            </w:r>
          </w:p>
        </w:tc>
        <w:tc>
          <w:tcPr>
            <w:tcW w:w="1710" w:type="dxa"/>
            <w:tcBorders>
              <w:bottom w:val="single" w:sz="6" w:space="0" w:color="000000"/>
              <w:right w:val="single" w:sz="6" w:space="0" w:color="000000"/>
            </w:tcBorders>
            <w:shd w:val="clear" w:color="auto" w:fill="D9D9D9"/>
            <w:tcMar>
              <w:top w:w="40" w:type="dxa"/>
              <w:left w:w="40" w:type="dxa"/>
              <w:bottom w:w="40" w:type="dxa"/>
              <w:right w:w="40" w:type="dxa"/>
            </w:tcMar>
          </w:tcPr>
          <w:p w14:paraId="19D1FC2C"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855" w:type="dxa"/>
            <w:tcBorders>
              <w:bottom w:val="single" w:sz="6" w:space="0" w:color="000000"/>
              <w:right w:val="single" w:sz="6" w:space="0" w:color="000000"/>
            </w:tcBorders>
            <w:shd w:val="clear" w:color="auto" w:fill="D9D9D9"/>
            <w:tcMar>
              <w:top w:w="40" w:type="dxa"/>
              <w:left w:w="40" w:type="dxa"/>
              <w:bottom w:w="40" w:type="dxa"/>
              <w:right w:w="40" w:type="dxa"/>
            </w:tcMar>
          </w:tcPr>
          <w:p w14:paraId="27C3F4C2" w14:textId="77777777" w:rsidR="002033A5" w:rsidRPr="00E619C8" w:rsidRDefault="002033A5">
            <w:pPr>
              <w:pBdr>
                <w:top w:val="nil"/>
                <w:left w:val="nil"/>
                <w:bottom w:val="nil"/>
                <w:right w:val="nil"/>
                <w:between w:val="nil"/>
              </w:pBdr>
              <w:spacing w:after="160" w:line="276" w:lineRule="auto"/>
              <w:rPr>
                <w:rFonts w:ascii="Arial" w:eastAsia="Arial" w:hAnsi="Arial" w:cs="Arial"/>
                <w:sz w:val="12"/>
                <w:szCs w:val="12"/>
              </w:rPr>
            </w:pPr>
          </w:p>
        </w:tc>
        <w:tc>
          <w:tcPr>
            <w:tcW w:w="1950" w:type="dxa"/>
            <w:tcBorders>
              <w:bottom w:val="single" w:sz="6" w:space="0" w:color="000000"/>
              <w:right w:val="single" w:sz="6" w:space="0" w:color="000000"/>
            </w:tcBorders>
            <w:shd w:val="clear" w:color="auto" w:fill="D9D9D9"/>
            <w:tcMar>
              <w:top w:w="40" w:type="dxa"/>
              <w:left w:w="40" w:type="dxa"/>
              <w:bottom w:w="40" w:type="dxa"/>
              <w:right w:w="40" w:type="dxa"/>
            </w:tcMar>
          </w:tcPr>
          <w:p w14:paraId="239188FA"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900" w:type="dxa"/>
            <w:tcBorders>
              <w:bottom w:val="single" w:sz="6" w:space="0" w:color="000000"/>
              <w:right w:val="single" w:sz="6" w:space="0" w:color="000000"/>
            </w:tcBorders>
            <w:shd w:val="clear" w:color="auto" w:fill="D9D9D9"/>
            <w:tcMar>
              <w:top w:w="40" w:type="dxa"/>
              <w:left w:w="40" w:type="dxa"/>
              <w:bottom w:w="40" w:type="dxa"/>
              <w:right w:w="40" w:type="dxa"/>
            </w:tcMar>
          </w:tcPr>
          <w:p w14:paraId="214091C6"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w:t>
            </w:r>
          </w:p>
        </w:tc>
        <w:tc>
          <w:tcPr>
            <w:tcW w:w="930"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45252030"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 xml:space="preserve"> </w:t>
            </w:r>
          </w:p>
        </w:tc>
      </w:tr>
      <w:tr w:rsidR="002033A5" w:rsidRPr="00E619C8" w14:paraId="064FE31E" w14:textId="77777777">
        <w:trPr>
          <w:trHeight w:val="7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C4945A9"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4.1.4.1</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22026F2A"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526F6105"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Procuring entity and contact details</w:t>
            </w:r>
          </w:p>
        </w:tc>
        <w:tc>
          <w:tcPr>
            <w:tcW w:w="1710" w:type="dxa"/>
            <w:tcBorders>
              <w:bottom w:val="single" w:sz="6" w:space="0" w:color="000000"/>
              <w:right w:val="single" w:sz="6" w:space="0" w:color="000000"/>
            </w:tcBorders>
            <w:tcMar>
              <w:top w:w="40" w:type="dxa"/>
              <w:left w:w="40" w:type="dxa"/>
              <w:bottom w:w="40" w:type="dxa"/>
              <w:right w:w="40" w:type="dxa"/>
            </w:tcMar>
          </w:tcPr>
          <w:p w14:paraId="15E9D097" w14:textId="787E5B9A"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The entity in charge of contracting the supervision of the infrastructure and its contact details </w:t>
            </w:r>
            <w:r w:rsidR="00050B1C">
              <w:rPr>
                <w:rFonts w:ascii="Arial" w:eastAsia="Arial" w:hAnsi="Arial" w:cs="Arial"/>
                <w:sz w:val="12"/>
                <w:szCs w:val="12"/>
              </w:rPr>
              <w:t>is</w:t>
            </w:r>
            <w:r w:rsidRPr="00E619C8">
              <w:rPr>
                <w:rFonts w:ascii="Arial" w:eastAsia="Arial" w:hAnsi="Arial" w:cs="Arial"/>
                <w:sz w:val="12"/>
                <w:szCs w:val="12"/>
              </w:rPr>
              <w:t xml:space="preserve"> clearly identified.</w:t>
            </w:r>
          </w:p>
        </w:tc>
        <w:tc>
          <w:tcPr>
            <w:tcW w:w="855" w:type="dxa"/>
            <w:tcBorders>
              <w:bottom w:val="single" w:sz="6" w:space="0" w:color="000000"/>
              <w:right w:val="single" w:sz="6" w:space="0" w:color="000000"/>
            </w:tcBorders>
            <w:tcMar>
              <w:top w:w="40" w:type="dxa"/>
              <w:left w:w="40" w:type="dxa"/>
              <w:bottom w:w="40" w:type="dxa"/>
              <w:right w:w="40" w:type="dxa"/>
            </w:tcMar>
          </w:tcPr>
          <w:p w14:paraId="45F3E72E"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38F89DA3"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They are not identified; 3 = Only one of the two data points is identified; 5 = Both are identified.</w:t>
            </w:r>
          </w:p>
        </w:tc>
        <w:tc>
          <w:tcPr>
            <w:tcW w:w="900" w:type="dxa"/>
            <w:tcBorders>
              <w:bottom w:val="single" w:sz="6" w:space="0" w:color="000000"/>
              <w:right w:val="single" w:sz="6" w:space="0" w:color="000000"/>
            </w:tcBorders>
            <w:tcMar>
              <w:top w:w="40" w:type="dxa"/>
              <w:left w:w="40" w:type="dxa"/>
              <w:bottom w:w="40" w:type="dxa"/>
              <w:right w:w="40" w:type="dxa"/>
            </w:tcMar>
          </w:tcPr>
          <w:p w14:paraId="34C44C75"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69B600F7"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2F41BA0A" w14:textId="77777777">
        <w:trPr>
          <w:trHeight w:val="21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1C8B224"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4.1.4.2</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4B66EA6A"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63BCE75"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Procurement process</w:t>
            </w:r>
          </w:p>
        </w:tc>
        <w:tc>
          <w:tcPr>
            <w:tcW w:w="1710" w:type="dxa"/>
            <w:tcBorders>
              <w:bottom w:val="single" w:sz="6" w:space="0" w:color="000000"/>
              <w:right w:val="single" w:sz="6" w:space="0" w:color="000000"/>
            </w:tcBorders>
            <w:tcMar>
              <w:top w:w="40" w:type="dxa"/>
              <w:left w:w="40" w:type="dxa"/>
              <w:bottom w:w="40" w:type="dxa"/>
              <w:right w:w="40" w:type="dxa"/>
            </w:tcMar>
          </w:tcPr>
          <w:p w14:paraId="7F6C3232"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type of procurement process applied to award the contract is clearly identified (e.g. international bidding, national bidding).</w:t>
            </w:r>
          </w:p>
        </w:tc>
        <w:tc>
          <w:tcPr>
            <w:tcW w:w="855" w:type="dxa"/>
            <w:tcBorders>
              <w:bottom w:val="single" w:sz="6" w:space="0" w:color="000000"/>
              <w:right w:val="single" w:sz="6" w:space="0" w:color="000000"/>
            </w:tcBorders>
            <w:tcMar>
              <w:top w:w="40" w:type="dxa"/>
              <w:left w:w="40" w:type="dxa"/>
              <w:bottom w:w="40" w:type="dxa"/>
              <w:right w:w="40" w:type="dxa"/>
            </w:tcMar>
          </w:tcPr>
          <w:p w14:paraId="74CEA43E"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367FD6EF"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identified; 5 = It is identified.</w:t>
            </w:r>
          </w:p>
        </w:tc>
        <w:tc>
          <w:tcPr>
            <w:tcW w:w="900" w:type="dxa"/>
            <w:tcBorders>
              <w:bottom w:val="single" w:sz="6" w:space="0" w:color="000000"/>
              <w:right w:val="single" w:sz="6" w:space="0" w:color="000000"/>
            </w:tcBorders>
            <w:tcMar>
              <w:top w:w="40" w:type="dxa"/>
              <w:left w:w="40" w:type="dxa"/>
              <w:bottom w:w="40" w:type="dxa"/>
              <w:right w:w="40" w:type="dxa"/>
            </w:tcMar>
          </w:tcPr>
          <w:p w14:paraId="616564C4"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09D79A29"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56D5D751" w14:textId="77777777">
        <w:trPr>
          <w:trHeight w:val="12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78ACC61"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4.1.4.3</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72CF684C"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19E11B41"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Number of firms/individuals bidding</w:t>
            </w:r>
          </w:p>
        </w:tc>
        <w:tc>
          <w:tcPr>
            <w:tcW w:w="1710" w:type="dxa"/>
            <w:tcBorders>
              <w:bottom w:val="single" w:sz="6" w:space="0" w:color="000000"/>
              <w:right w:val="single" w:sz="6" w:space="0" w:color="000000"/>
            </w:tcBorders>
            <w:tcMar>
              <w:top w:w="40" w:type="dxa"/>
              <w:left w:w="40" w:type="dxa"/>
              <w:bottom w:w="40" w:type="dxa"/>
              <w:right w:w="40" w:type="dxa"/>
            </w:tcMar>
          </w:tcPr>
          <w:p w14:paraId="6BDF58D0"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number of companies or individuals participating in the bidding process for the supervision is clearly identified.</w:t>
            </w:r>
          </w:p>
        </w:tc>
        <w:tc>
          <w:tcPr>
            <w:tcW w:w="855" w:type="dxa"/>
            <w:tcBorders>
              <w:bottom w:val="single" w:sz="6" w:space="0" w:color="000000"/>
              <w:right w:val="single" w:sz="6" w:space="0" w:color="000000"/>
            </w:tcBorders>
            <w:tcMar>
              <w:top w:w="40" w:type="dxa"/>
              <w:left w:w="40" w:type="dxa"/>
              <w:bottom w:w="40" w:type="dxa"/>
              <w:right w:w="40" w:type="dxa"/>
            </w:tcMar>
          </w:tcPr>
          <w:p w14:paraId="725F1959"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455C59DA"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identified; 5 = It is identified.</w:t>
            </w:r>
          </w:p>
        </w:tc>
        <w:tc>
          <w:tcPr>
            <w:tcW w:w="900" w:type="dxa"/>
            <w:tcBorders>
              <w:bottom w:val="single" w:sz="6" w:space="0" w:color="000000"/>
              <w:right w:val="single" w:sz="6" w:space="0" w:color="000000"/>
            </w:tcBorders>
            <w:tcMar>
              <w:top w:w="40" w:type="dxa"/>
              <w:left w:w="40" w:type="dxa"/>
              <w:bottom w:w="40" w:type="dxa"/>
              <w:right w:w="40" w:type="dxa"/>
            </w:tcMar>
          </w:tcPr>
          <w:p w14:paraId="02EFD70B"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4619621D"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5F2F4D67" w14:textId="77777777">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64B214AB"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4.1.4.4</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1ECFC096"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231BF384"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type</w:t>
            </w:r>
          </w:p>
        </w:tc>
        <w:tc>
          <w:tcPr>
            <w:tcW w:w="1710" w:type="dxa"/>
            <w:tcBorders>
              <w:bottom w:val="single" w:sz="6" w:space="0" w:color="000000"/>
              <w:right w:val="single" w:sz="6" w:space="0" w:color="000000"/>
            </w:tcBorders>
            <w:tcMar>
              <w:top w:w="40" w:type="dxa"/>
              <w:left w:w="40" w:type="dxa"/>
              <w:bottom w:w="40" w:type="dxa"/>
              <w:right w:w="40" w:type="dxa"/>
            </w:tcMar>
          </w:tcPr>
          <w:p w14:paraId="0259CB33"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type of contract signed is clearly identified (e.g. design, construction, supervision).</w:t>
            </w:r>
          </w:p>
        </w:tc>
        <w:tc>
          <w:tcPr>
            <w:tcW w:w="855" w:type="dxa"/>
            <w:tcBorders>
              <w:bottom w:val="single" w:sz="6" w:space="0" w:color="000000"/>
              <w:right w:val="single" w:sz="6" w:space="0" w:color="000000"/>
            </w:tcBorders>
            <w:tcMar>
              <w:top w:w="40" w:type="dxa"/>
              <w:left w:w="40" w:type="dxa"/>
              <w:bottom w:w="40" w:type="dxa"/>
              <w:right w:w="40" w:type="dxa"/>
            </w:tcMar>
          </w:tcPr>
          <w:p w14:paraId="49D51880"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0F19D074"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identified; 5 = It is identified.</w:t>
            </w:r>
          </w:p>
        </w:tc>
        <w:tc>
          <w:tcPr>
            <w:tcW w:w="900" w:type="dxa"/>
            <w:tcBorders>
              <w:bottom w:val="single" w:sz="6" w:space="0" w:color="000000"/>
              <w:right w:val="single" w:sz="6" w:space="0" w:color="000000"/>
            </w:tcBorders>
            <w:tcMar>
              <w:top w:w="40" w:type="dxa"/>
              <w:left w:w="40" w:type="dxa"/>
              <w:bottom w:w="40" w:type="dxa"/>
              <w:right w:w="40" w:type="dxa"/>
            </w:tcMar>
          </w:tcPr>
          <w:p w14:paraId="6C5EB679"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088B32FA"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238E220D" w14:textId="77777777">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4B9452E"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4.1.4.5</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429FCA9B"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072C6E6F"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title</w:t>
            </w:r>
          </w:p>
        </w:tc>
        <w:tc>
          <w:tcPr>
            <w:tcW w:w="1710" w:type="dxa"/>
            <w:tcBorders>
              <w:bottom w:val="single" w:sz="6" w:space="0" w:color="000000"/>
              <w:right w:val="single" w:sz="6" w:space="0" w:color="000000"/>
            </w:tcBorders>
            <w:tcMar>
              <w:top w:w="40" w:type="dxa"/>
              <w:left w:w="40" w:type="dxa"/>
              <w:bottom w:w="40" w:type="dxa"/>
              <w:right w:w="40" w:type="dxa"/>
            </w:tcMar>
          </w:tcPr>
          <w:p w14:paraId="4E954ECC"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official name of the signed contract is clearly identified.</w:t>
            </w:r>
          </w:p>
        </w:tc>
        <w:tc>
          <w:tcPr>
            <w:tcW w:w="855" w:type="dxa"/>
            <w:tcBorders>
              <w:bottom w:val="single" w:sz="6" w:space="0" w:color="000000"/>
              <w:right w:val="single" w:sz="6" w:space="0" w:color="000000"/>
            </w:tcBorders>
            <w:tcMar>
              <w:top w:w="40" w:type="dxa"/>
              <w:left w:w="40" w:type="dxa"/>
              <w:bottom w:w="40" w:type="dxa"/>
              <w:right w:w="40" w:type="dxa"/>
            </w:tcMar>
          </w:tcPr>
          <w:p w14:paraId="50FCC3F9"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0BF6F576"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identified; 5 = It is identified.</w:t>
            </w:r>
          </w:p>
        </w:tc>
        <w:tc>
          <w:tcPr>
            <w:tcW w:w="900" w:type="dxa"/>
            <w:tcBorders>
              <w:bottom w:val="single" w:sz="6" w:space="0" w:color="000000"/>
              <w:right w:val="single" w:sz="6" w:space="0" w:color="000000"/>
            </w:tcBorders>
            <w:tcMar>
              <w:top w:w="40" w:type="dxa"/>
              <w:left w:w="40" w:type="dxa"/>
              <w:bottom w:w="40" w:type="dxa"/>
              <w:right w:w="40" w:type="dxa"/>
            </w:tcMar>
          </w:tcPr>
          <w:p w14:paraId="1C3366B8"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7AF852D1"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2334D0BC" w14:textId="77777777">
        <w:trPr>
          <w:trHeight w:val="1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EBD0572"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4.1.4.6</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5486AD25"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DAD5043"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price</w:t>
            </w:r>
          </w:p>
        </w:tc>
        <w:tc>
          <w:tcPr>
            <w:tcW w:w="1710" w:type="dxa"/>
            <w:tcBorders>
              <w:bottom w:val="single" w:sz="6" w:space="0" w:color="000000"/>
              <w:right w:val="single" w:sz="6" w:space="0" w:color="000000"/>
            </w:tcBorders>
            <w:tcMar>
              <w:top w:w="40" w:type="dxa"/>
              <w:left w:w="40" w:type="dxa"/>
              <w:bottom w:w="40" w:type="dxa"/>
              <w:right w:w="40" w:type="dxa"/>
            </w:tcMar>
          </w:tcPr>
          <w:p w14:paraId="0CED02CB"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final amount of the supervision contract is clearly stated.</w:t>
            </w:r>
          </w:p>
        </w:tc>
        <w:tc>
          <w:tcPr>
            <w:tcW w:w="855" w:type="dxa"/>
            <w:tcBorders>
              <w:bottom w:val="single" w:sz="6" w:space="0" w:color="000000"/>
              <w:right w:val="single" w:sz="6" w:space="0" w:color="000000"/>
            </w:tcBorders>
            <w:tcMar>
              <w:top w:w="40" w:type="dxa"/>
              <w:left w:w="40" w:type="dxa"/>
              <w:bottom w:w="40" w:type="dxa"/>
              <w:right w:w="40" w:type="dxa"/>
            </w:tcMar>
          </w:tcPr>
          <w:p w14:paraId="7B90E129"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001AE3AD"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identified; 5 = It is identified.</w:t>
            </w:r>
          </w:p>
        </w:tc>
        <w:tc>
          <w:tcPr>
            <w:tcW w:w="900" w:type="dxa"/>
            <w:tcBorders>
              <w:bottom w:val="single" w:sz="6" w:space="0" w:color="000000"/>
              <w:right w:val="single" w:sz="6" w:space="0" w:color="000000"/>
            </w:tcBorders>
            <w:tcMar>
              <w:top w:w="40" w:type="dxa"/>
              <w:left w:w="40" w:type="dxa"/>
              <w:bottom w:w="40" w:type="dxa"/>
              <w:right w:w="40" w:type="dxa"/>
            </w:tcMar>
          </w:tcPr>
          <w:p w14:paraId="229D080A"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7D4A3734"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1DD19FB4" w14:textId="77777777">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C38861A"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4.1.4.7</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5F7D6A10"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695AC0C0"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start date</w:t>
            </w:r>
          </w:p>
        </w:tc>
        <w:tc>
          <w:tcPr>
            <w:tcW w:w="1710" w:type="dxa"/>
            <w:tcBorders>
              <w:bottom w:val="single" w:sz="6" w:space="0" w:color="000000"/>
              <w:right w:val="single" w:sz="6" w:space="0" w:color="000000"/>
            </w:tcBorders>
            <w:tcMar>
              <w:top w:w="40" w:type="dxa"/>
              <w:left w:w="40" w:type="dxa"/>
              <w:bottom w:w="40" w:type="dxa"/>
              <w:right w:w="40" w:type="dxa"/>
            </w:tcMar>
          </w:tcPr>
          <w:p w14:paraId="59A176E4"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date when the supervision contract started is clearly identified.</w:t>
            </w:r>
          </w:p>
        </w:tc>
        <w:tc>
          <w:tcPr>
            <w:tcW w:w="855" w:type="dxa"/>
            <w:tcBorders>
              <w:bottom w:val="single" w:sz="6" w:space="0" w:color="000000"/>
              <w:right w:val="single" w:sz="6" w:space="0" w:color="000000"/>
            </w:tcBorders>
            <w:tcMar>
              <w:top w:w="40" w:type="dxa"/>
              <w:left w:w="40" w:type="dxa"/>
              <w:bottom w:w="40" w:type="dxa"/>
              <w:right w:w="40" w:type="dxa"/>
            </w:tcMar>
          </w:tcPr>
          <w:p w14:paraId="225AED4F"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154EB96E"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identified; 5 = It is identified.</w:t>
            </w:r>
          </w:p>
        </w:tc>
        <w:tc>
          <w:tcPr>
            <w:tcW w:w="900" w:type="dxa"/>
            <w:tcBorders>
              <w:bottom w:val="single" w:sz="6" w:space="0" w:color="000000"/>
              <w:right w:val="single" w:sz="6" w:space="0" w:color="000000"/>
            </w:tcBorders>
            <w:tcMar>
              <w:top w:w="40" w:type="dxa"/>
              <w:left w:w="40" w:type="dxa"/>
              <w:bottom w:w="40" w:type="dxa"/>
              <w:right w:w="40" w:type="dxa"/>
            </w:tcMar>
          </w:tcPr>
          <w:p w14:paraId="082C809D"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2E4EBDBC"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0E6016D6" w14:textId="77777777">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DE87E08"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4.1.4.8</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2B37B0E1"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12897584"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duration</w:t>
            </w:r>
          </w:p>
        </w:tc>
        <w:tc>
          <w:tcPr>
            <w:tcW w:w="1710" w:type="dxa"/>
            <w:tcBorders>
              <w:bottom w:val="single" w:sz="6" w:space="0" w:color="000000"/>
              <w:right w:val="single" w:sz="6" w:space="0" w:color="000000"/>
            </w:tcBorders>
            <w:tcMar>
              <w:top w:w="40" w:type="dxa"/>
              <w:left w:w="40" w:type="dxa"/>
              <w:bottom w:w="40" w:type="dxa"/>
              <w:right w:w="40" w:type="dxa"/>
            </w:tcMar>
          </w:tcPr>
          <w:p w14:paraId="3E6E1142"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The contract duration is clearly identified.</w:t>
            </w:r>
          </w:p>
        </w:tc>
        <w:tc>
          <w:tcPr>
            <w:tcW w:w="855" w:type="dxa"/>
            <w:tcBorders>
              <w:bottom w:val="single" w:sz="6" w:space="0" w:color="000000"/>
              <w:right w:val="single" w:sz="6" w:space="0" w:color="000000"/>
            </w:tcBorders>
            <w:tcMar>
              <w:top w:w="40" w:type="dxa"/>
              <w:left w:w="40" w:type="dxa"/>
              <w:bottom w:w="40" w:type="dxa"/>
              <w:right w:w="40" w:type="dxa"/>
            </w:tcMar>
          </w:tcPr>
          <w:p w14:paraId="1F98F5AF"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4A15F2D8"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identified; 5 = It is identified, either because it is clearly provided or because it can be calculated with a starting and ending date.</w:t>
            </w:r>
          </w:p>
        </w:tc>
        <w:tc>
          <w:tcPr>
            <w:tcW w:w="900" w:type="dxa"/>
            <w:tcBorders>
              <w:bottom w:val="single" w:sz="6" w:space="0" w:color="000000"/>
              <w:right w:val="single" w:sz="6" w:space="0" w:color="000000"/>
            </w:tcBorders>
            <w:tcMar>
              <w:top w:w="40" w:type="dxa"/>
              <w:left w:w="40" w:type="dxa"/>
              <w:bottom w:w="40" w:type="dxa"/>
              <w:right w:w="40" w:type="dxa"/>
            </w:tcMar>
          </w:tcPr>
          <w:p w14:paraId="4712321E"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20198716"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5B0D8736" w14:textId="77777777">
        <w:trPr>
          <w:trHeight w:val="16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758B9EE"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4.1.4.9</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41E19D0D"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0752E167"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firm/individual</w:t>
            </w:r>
          </w:p>
        </w:tc>
        <w:tc>
          <w:tcPr>
            <w:tcW w:w="1710" w:type="dxa"/>
            <w:tcBorders>
              <w:bottom w:val="single" w:sz="6" w:space="0" w:color="000000"/>
              <w:right w:val="single" w:sz="6" w:space="0" w:color="000000"/>
            </w:tcBorders>
            <w:tcMar>
              <w:top w:w="40" w:type="dxa"/>
              <w:left w:w="40" w:type="dxa"/>
              <w:bottom w:w="40" w:type="dxa"/>
              <w:right w:w="40" w:type="dxa"/>
            </w:tcMar>
          </w:tcPr>
          <w:p w14:paraId="119DF28E" w14:textId="2B917D8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The name, the professional (in case of companies) and contact information of the awarded company or individual to implement the supervision contract </w:t>
            </w:r>
            <w:r w:rsidR="00050B1C">
              <w:rPr>
                <w:rFonts w:ascii="Arial" w:eastAsia="Arial" w:hAnsi="Arial" w:cs="Arial"/>
                <w:sz w:val="12"/>
                <w:szCs w:val="12"/>
              </w:rPr>
              <w:t>are</w:t>
            </w:r>
            <w:r w:rsidRPr="00E619C8">
              <w:rPr>
                <w:rFonts w:ascii="Arial" w:eastAsia="Arial" w:hAnsi="Arial" w:cs="Arial"/>
                <w:sz w:val="12"/>
                <w:szCs w:val="12"/>
              </w:rPr>
              <w:t xml:space="preserve"> clearly identified.</w:t>
            </w:r>
          </w:p>
        </w:tc>
        <w:tc>
          <w:tcPr>
            <w:tcW w:w="855" w:type="dxa"/>
            <w:tcBorders>
              <w:bottom w:val="single" w:sz="6" w:space="0" w:color="000000"/>
              <w:right w:val="single" w:sz="6" w:space="0" w:color="000000"/>
            </w:tcBorders>
            <w:tcMar>
              <w:top w:w="40" w:type="dxa"/>
              <w:left w:w="40" w:type="dxa"/>
              <w:bottom w:w="40" w:type="dxa"/>
              <w:right w:w="40" w:type="dxa"/>
            </w:tcMar>
          </w:tcPr>
          <w:p w14:paraId="736EE5A9"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006D6774"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identified; 3 = Only the name is identified, without all the details; 5 = The name, contact information and professional in charge are identified.</w:t>
            </w:r>
          </w:p>
        </w:tc>
        <w:tc>
          <w:tcPr>
            <w:tcW w:w="900" w:type="dxa"/>
            <w:tcBorders>
              <w:bottom w:val="single" w:sz="6" w:space="0" w:color="000000"/>
              <w:right w:val="single" w:sz="6" w:space="0" w:color="000000"/>
            </w:tcBorders>
            <w:tcMar>
              <w:top w:w="40" w:type="dxa"/>
              <w:left w:w="40" w:type="dxa"/>
              <w:bottom w:w="40" w:type="dxa"/>
              <w:right w:w="40" w:type="dxa"/>
            </w:tcMar>
          </w:tcPr>
          <w:p w14:paraId="00268591"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60DEB689"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7E64DCE2" w14:textId="77777777">
        <w:trPr>
          <w:trHeight w:val="63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109041A"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4.1.4.10</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41EF18FC"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0C9E5697"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scope of work</w:t>
            </w:r>
          </w:p>
        </w:tc>
        <w:tc>
          <w:tcPr>
            <w:tcW w:w="1710" w:type="dxa"/>
            <w:tcBorders>
              <w:bottom w:val="single" w:sz="6" w:space="0" w:color="000000"/>
              <w:right w:val="single" w:sz="6" w:space="0" w:color="000000"/>
            </w:tcBorders>
            <w:tcMar>
              <w:top w:w="40" w:type="dxa"/>
              <w:left w:w="40" w:type="dxa"/>
              <w:bottom w:w="40" w:type="dxa"/>
              <w:right w:w="40" w:type="dxa"/>
            </w:tcMar>
          </w:tcPr>
          <w:p w14:paraId="316C8692" w14:textId="37B28723"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The description of the work, services and outputs that the firm or individual has to provide under the signed contract </w:t>
            </w:r>
            <w:r w:rsidR="00050B1C">
              <w:rPr>
                <w:rFonts w:ascii="Arial" w:eastAsia="Arial" w:hAnsi="Arial" w:cs="Arial"/>
                <w:sz w:val="12"/>
                <w:szCs w:val="12"/>
              </w:rPr>
              <w:t>is</w:t>
            </w:r>
            <w:r w:rsidRPr="00E619C8">
              <w:rPr>
                <w:rFonts w:ascii="Arial" w:eastAsia="Arial" w:hAnsi="Arial" w:cs="Arial"/>
                <w:sz w:val="12"/>
                <w:szCs w:val="12"/>
              </w:rPr>
              <w:t xml:space="preserve"> clearly identified.</w:t>
            </w:r>
          </w:p>
        </w:tc>
        <w:tc>
          <w:tcPr>
            <w:tcW w:w="855" w:type="dxa"/>
            <w:tcBorders>
              <w:bottom w:val="single" w:sz="6" w:space="0" w:color="000000"/>
              <w:right w:val="single" w:sz="6" w:space="0" w:color="000000"/>
            </w:tcBorders>
            <w:tcMar>
              <w:top w:w="40" w:type="dxa"/>
              <w:left w:w="40" w:type="dxa"/>
              <w:bottom w:w="40" w:type="dxa"/>
              <w:right w:w="40" w:type="dxa"/>
            </w:tcMar>
          </w:tcPr>
          <w:p w14:paraId="2B734CDB"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015841C8"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It is not identified; 3 = It is identified but has deficiencies; 5 = It is identified, clear and comprehensive.</w:t>
            </w:r>
          </w:p>
        </w:tc>
        <w:tc>
          <w:tcPr>
            <w:tcW w:w="900" w:type="dxa"/>
            <w:tcBorders>
              <w:bottom w:val="single" w:sz="6" w:space="0" w:color="000000"/>
              <w:right w:val="single" w:sz="6" w:space="0" w:color="000000"/>
            </w:tcBorders>
            <w:tcMar>
              <w:top w:w="40" w:type="dxa"/>
              <w:left w:w="40" w:type="dxa"/>
              <w:bottom w:w="40" w:type="dxa"/>
              <w:right w:w="40" w:type="dxa"/>
            </w:tcMar>
          </w:tcPr>
          <w:p w14:paraId="31E04F6D"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0553E42A"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584C7BC9" w14:textId="77777777">
        <w:trPr>
          <w:trHeight w:val="875"/>
        </w:trPr>
        <w:tc>
          <w:tcPr>
            <w:tcW w:w="690" w:type="dxa"/>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7E7AC671"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4.1.5</w:t>
            </w:r>
          </w:p>
        </w:tc>
        <w:tc>
          <w:tcPr>
            <w:tcW w:w="855"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471BDAB5"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Sub-variable</w:t>
            </w:r>
          </w:p>
        </w:tc>
        <w:tc>
          <w:tcPr>
            <w:tcW w:w="1140"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12A21CC3"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Construction contract implementation</w:t>
            </w:r>
          </w:p>
        </w:tc>
        <w:tc>
          <w:tcPr>
            <w:tcW w:w="1710" w:type="dxa"/>
            <w:tcBorders>
              <w:bottom w:val="single" w:sz="6" w:space="0" w:color="000000"/>
              <w:right w:val="single" w:sz="6" w:space="0" w:color="000000"/>
            </w:tcBorders>
            <w:shd w:val="clear" w:color="auto" w:fill="D9D9D9"/>
            <w:tcMar>
              <w:top w:w="40" w:type="dxa"/>
              <w:left w:w="40" w:type="dxa"/>
              <w:bottom w:w="40" w:type="dxa"/>
              <w:right w:w="40" w:type="dxa"/>
            </w:tcMar>
          </w:tcPr>
          <w:p w14:paraId="7036117F"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855" w:type="dxa"/>
            <w:tcBorders>
              <w:bottom w:val="single" w:sz="6" w:space="0" w:color="000000"/>
              <w:right w:val="single" w:sz="6" w:space="0" w:color="000000"/>
            </w:tcBorders>
            <w:shd w:val="clear" w:color="auto" w:fill="D9D9D9"/>
            <w:tcMar>
              <w:top w:w="40" w:type="dxa"/>
              <w:left w:w="40" w:type="dxa"/>
              <w:bottom w:w="40" w:type="dxa"/>
              <w:right w:w="40" w:type="dxa"/>
            </w:tcMar>
          </w:tcPr>
          <w:p w14:paraId="654A18DD" w14:textId="77777777" w:rsidR="002033A5" w:rsidRPr="00E619C8" w:rsidRDefault="002033A5">
            <w:pPr>
              <w:pBdr>
                <w:top w:val="nil"/>
                <w:left w:val="nil"/>
                <w:bottom w:val="nil"/>
                <w:right w:val="nil"/>
                <w:between w:val="nil"/>
              </w:pBdr>
              <w:spacing w:after="160" w:line="276" w:lineRule="auto"/>
              <w:rPr>
                <w:rFonts w:ascii="Arial" w:eastAsia="Arial" w:hAnsi="Arial" w:cs="Arial"/>
                <w:sz w:val="12"/>
                <w:szCs w:val="12"/>
              </w:rPr>
            </w:pPr>
          </w:p>
        </w:tc>
        <w:tc>
          <w:tcPr>
            <w:tcW w:w="1950" w:type="dxa"/>
            <w:tcBorders>
              <w:bottom w:val="single" w:sz="6" w:space="0" w:color="000000"/>
              <w:right w:val="single" w:sz="6" w:space="0" w:color="000000"/>
            </w:tcBorders>
            <w:shd w:val="clear" w:color="auto" w:fill="D9D9D9"/>
            <w:tcMar>
              <w:top w:w="40" w:type="dxa"/>
              <w:left w:w="40" w:type="dxa"/>
              <w:bottom w:w="40" w:type="dxa"/>
              <w:right w:w="40" w:type="dxa"/>
            </w:tcMar>
          </w:tcPr>
          <w:p w14:paraId="66A8CD7E"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900" w:type="dxa"/>
            <w:tcBorders>
              <w:bottom w:val="single" w:sz="6" w:space="0" w:color="000000"/>
              <w:right w:val="single" w:sz="6" w:space="0" w:color="000000"/>
            </w:tcBorders>
            <w:shd w:val="clear" w:color="auto" w:fill="D9D9D9"/>
            <w:tcMar>
              <w:top w:w="40" w:type="dxa"/>
              <w:left w:w="40" w:type="dxa"/>
              <w:bottom w:w="40" w:type="dxa"/>
              <w:right w:w="40" w:type="dxa"/>
            </w:tcMar>
          </w:tcPr>
          <w:p w14:paraId="74E05A99"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0.15</w:t>
            </w:r>
          </w:p>
        </w:tc>
        <w:tc>
          <w:tcPr>
            <w:tcW w:w="930"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5E009B23"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 xml:space="preserve"> </w:t>
            </w:r>
          </w:p>
        </w:tc>
      </w:tr>
      <w:tr w:rsidR="002033A5" w:rsidRPr="00E619C8" w14:paraId="3654DD60" w14:textId="77777777">
        <w:trPr>
          <w:trHeight w:val="115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935A158"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4.1.5.1</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697B5FD8"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3D18C81F" w14:textId="337D775A"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 xml:space="preserve">Variation to </w:t>
            </w:r>
            <w:r w:rsidR="00050B1C">
              <w:rPr>
                <w:rFonts w:ascii="Arial" w:eastAsia="Arial" w:hAnsi="Arial" w:cs="Arial"/>
                <w:sz w:val="12"/>
                <w:szCs w:val="12"/>
              </w:rPr>
              <w:t xml:space="preserve">the </w:t>
            </w:r>
            <w:r w:rsidRPr="00E619C8">
              <w:rPr>
                <w:rFonts w:ascii="Arial" w:eastAsia="Arial" w:hAnsi="Arial" w:cs="Arial"/>
                <w:sz w:val="12"/>
                <w:szCs w:val="12"/>
              </w:rPr>
              <w:t>construction contract price</w:t>
            </w:r>
          </w:p>
        </w:tc>
        <w:tc>
          <w:tcPr>
            <w:tcW w:w="1710" w:type="dxa"/>
            <w:tcBorders>
              <w:bottom w:val="single" w:sz="6" w:space="0" w:color="000000"/>
              <w:right w:val="single" w:sz="6" w:space="0" w:color="000000"/>
            </w:tcBorders>
            <w:tcMar>
              <w:top w:w="40" w:type="dxa"/>
              <w:left w:w="40" w:type="dxa"/>
              <w:bottom w:w="40" w:type="dxa"/>
              <w:right w:w="40" w:type="dxa"/>
            </w:tcMar>
          </w:tcPr>
          <w:p w14:paraId="7AC22141"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It is clearly indicated whether variations to the contract price have been made.</w:t>
            </w:r>
          </w:p>
        </w:tc>
        <w:tc>
          <w:tcPr>
            <w:tcW w:w="855" w:type="dxa"/>
            <w:tcBorders>
              <w:bottom w:val="single" w:sz="6" w:space="0" w:color="000000"/>
              <w:right w:val="single" w:sz="6" w:space="0" w:color="000000"/>
            </w:tcBorders>
            <w:tcMar>
              <w:top w:w="40" w:type="dxa"/>
              <w:left w:w="40" w:type="dxa"/>
              <w:bottom w:w="40" w:type="dxa"/>
              <w:right w:w="40" w:type="dxa"/>
            </w:tcMar>
          </w:tcPr>
          <w:p w14:paraId="0482AC35"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24152ED1"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price information, or price variations are not pointed out when there is evidence that they exist, or the price at the end of the contract is not available (to compare with the initial awarded price); 5 = The price variations are clearly pointed out if there is evidence that they exist, or no price variations were observed.</w:t>
            </w:r>
          </w:p>
        </w:tc>
        <w:tc>
          <w:tcPr>
            <w:tcW w:w="900" w:type="dxa"/>
            <w:tcBorders>
              <w:bottom w:val="single" w:sz="6" w:space="0" w:color="000000"/>
              <w:right w:val="single" w:sz="6" w:space="0" w:color="000000"/>
            </w:tcBorders>
            <w:tcMar>
              <w:top w:w="40" w:type="dxa"/>
              <w:left w:w="40" w:type="dxa"/>
              <w:bottom w:w="40" w:type="dxa"/>
              <w:right w:w="40" w:type="dxa"/>
            </w:tcMar>
          </w:tcPr>
          <w:p w14:paraId="5BB1DF4A"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51D01224"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6F8E0535" w14:textId="77777777">
        <w:trPr>
          <w:trHeight w:val="1567"/>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0BD6DBC"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4.1.5.2</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2E27B88A"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4DF478C"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Reasons for construction price changes</w:t>
            </w:r>
          </w:p>
        </w:tc>
        <w:tc>
          <w:tcPr>
            <w:tcW w:w="1710" w:type="dxa"/>
            <w:tcBorders>
              <w:bottom w:val="single" w:sz="6" w:space="0" w:color="000000"/>
              <w:right w:val="single" w:sz="6" w:space="0" w:color="000000"/>
            </w:tcBorders>
            <w:tcMar>
              <w:top w:w="40" w:type="dxa"/>
              <w:left w:w="40" w:type="dxa"/>
              <w:bottom w:w="40" w:type="dxa"/>
              <w:right w:w="40" w:type="dxa"/>
            </w:tcMar>
          </w:tcPr>
          <w:p w14:paraId="44C88F4A"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Justifications with arguments why changes were made to the contract price are available.</w:t>
            </w:r>
          </w:p>
        </w:tc>
        <w:tc>
          <w:tcPr>
            <w:tcW w:w="855" w:type="dxa"/>
            <w:tcBorders>
              <w:bottom w:val="single" w:sz="6" w:space="0" w:color="000000"/>
              <w:right w:val="single" w:sz="6" w:space="0" w:color="000000"/>
            </w:tcBorders>
            <w:tcMar>
              <w:top w:w="40" w:type="dxa"/>
              <w:left w:w="40" w:type="dxa"/>
              <w:bottom w:w="40" w:type="dxa"/>
              <w:right w:w="40" w:type="dxa"/>
            </w:tcMar>
          </w:tcPr>
          <w:p w14:paraId="5D2DE405"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4491815D"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price information, or the reasons for price changes are not available and price changes were observed, or the payed price at the end of the contract is not available (to compare with awarded price); 3 = There are reasons for price changes, but they are partial; 5 = The reasons for all changes are available and reasonable, or there were no changes to the contracted price.</w:t>
            </w:r>
          </w:p>
        </w:tc>
        <w:tc>
          <w:tcPr>
            <w:tcW w:w="900" w:type="dxa"/>
            <w:tcBorders>
              <w:bottom w:val="single" w:sz="6" w:space="0" w:color="000000"/>
              <w:right w:val="single" w:sz="6" w:space="0" w:color="000000"/>
            </w:tcBorders>
            <w:tcMar>
              <w:top w:w="40" w:type="dxa"/>
              <w:left w:w="40" w:type="dxa"/>
              <w:bottom w:w="40" w:type="dxa"/>
              <w:right w:w="40" w:type="dxa"/>
            </w:tcMar>
          </w:tcPr>
          <w:p w14:paraId="1D1C95B1"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6CA77706"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0DA5117F" w14:textId="77777777">
        <w:trPr>
          <w:trHeight w:val="159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366AAEFA"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4.1.5.3</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35C775E0"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001F009" w14:textId="29B6C7B6"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 xml:space="preserve">Variation to </w:t>
            </w:r>
            <w:r w:rsidR="00050B1C">
              <w:rPr>
                <w:rFonts w:ascii="Arial" w:eastAsia="Arial" w:hAnsi="Arial" w:cs="Arial"/>
                <w:sz w:val="12"/>
                <w:szCs w:val="12"/>
              </w:rPr>
              <w:t xml:space="preserve">the </w:t>
            </w:r>
            <w:r w:rsidRPr="00E619C8">
              <w:rPr>
                <w:rFonts w:ascii="Arial" w:eastAsia="Arial" w:hAnsi="Arial" w:cs="Arial"/>
                <w:sz w:val="12"/>
                <w:szCs w:val="12"/>
              </w:rPr>
              <w:t>construction contract duration</w:t>
            </w:r>
          </w:p>
        </w:tc>
        <w:tc>
          <w:tcPr>
            <w:tcW w:w="1710" w:type="dxa"/>
            <w:tcBorders>
              <w:bottom w:val="single" w:sz="6" w:space="0" w:color="000000"/>
              <w:right w:val="single" w:sz="6" w:space="0" w:color="000000"/>
            </w:tcBorders>
            <w:tcMar>
              <w:top w:w="40" w:type="dxa"/>
              <w:left w:w="40" w:type="dxa"/>
              <w:bottom w:w="40" w:type="dxa"/>
              <w:right w:w="40" w:type="dxa"/>
            </w:tcMar>
          </w:tcPr>
          <w:p w14:paraId="2562650F"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Contract duration modifications are clearly indicated, if made.</w:t>
            </w:r>
          </w:p>
        </w:tc>
        <w:tc>
          <w:tcPr>
            <w:tcW w:w="855" w:type="dxa"/>
            <w:tcBorders>
              <w:bottom w:val="single" w:sz="6" w:space="0" w:color="000000"/>
              <w:right w:val="single" w:sz="6" w:space="0" w:color="000000"/>
            </w:tcBorders>
            <w:tcMar>
              <w:top w:w="40" w:type="dxa"/>
              <w:left w:w="40" w:type="dxa"/>
              <w:bottom w:w="40" w:type="dxa"/>
              <w:right w:w="40" w:type="dxa"/>
            </w:tcMar>
          </w:tcPr>
          <w:p w14:paraId="4ACBB77B"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044ACB05"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duration information, or variations to the contract duration are not pointed out when there is evidence that they exist, or the duration at the end of the contract is not available (to compare with the awarded duration); 5 = Variations are clearly pointed out if there is evidence that they exist, or no variations to the contract duration were observed.</w:t>
            </w:r>
          </w:p>
        </w:tc>
        <w:tc>
          <w:tcPr>
            <w:tcW w:w="900" w:type="dxa"/>
            <w:tcBorders>
              <w:bottom w:val="single" w:sz="6" w:space="0" w:color="000000"/>
              <w:right w:val="single" w:sz="6" w:space="0" w:color="000000"/>
            </w:tcBorders>
            <w:tcMar>
              <w:top w:w="40" w:type="dxa"/>
              <w:left w:w="40" w:type="dxa"/>
              <w:bottom w:w="40" w:type="dxa"/>
              <w:right w:w="40" w:type="dxa"/>
            </w:tcMar>
          </w:tcPr>
          <w:p w14:paraId="445B306B"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795D5C26"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717254ED" w14:textId="77777777">
        <w:trPr>
          <w:trHeight w:val="188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09CFA00"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4.1.5.4</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712F82B3"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46B60FC7"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Reasons for construction duration changes</w:t>
            </w:r>
          </w:p>
        </w:tc>
        <w:tc>
          <w:tcPr>
            <w:tcW w:w="1710" w:type="dxa"/>
            <w:tcBorders>
              <w:bottom w:val="single" w:sz="6" w:space="0" w:color="000000"/>
              <w:right w:val="single" w:sz="6" w:space="0" w:color="000000"/>
            </w:tcBorders>
            <w:tcMar>
              <w:top w:w="40" w:type="dxa"/>
              <w:left w:w="40" w:type="dxa"/>
              <w:bottom w:w="40" w:type="dxa"/>
              <w:right w:w="40" w:type="dxa"/>
            </w:tcMar>
          </w:tcPr>
          <w:p w14:paraId="51881DC8"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Justifications with arguments why changes were made to the contract duration are available.</w:t>
            </w:r>
          </w:p>
        </w:tc>
        <w:tc>
          <w:tcPr>
            <w:tcW w:w="855" w:type="dxa"/>
            <w:tcBorders>
              <w:bottom w:val="single" w:sz="6" w:space="0" w:color="000000"/>
              <w:right w:val="single" w:sz="6" w:space="0" w:color="000000"/>
            </w:tcBorders>
            <w:tcMar>
              <w:top w:w="40" w:type="dxa"/>
              <w:left w:w="40" w:type="dxa"/>
              <w:bottom w:w="40" w:type="dxa"/>
              <w:right w:w="40" w:type="dxa"/>
            </w:tcMar>
          </w:tcPr>
          <w:p w14:paraId="6DEB6F59"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7C1BA689"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duration information, or the reasons for changes in the duration are not available and term changes were observed, or the duration at the end of the contract is not available (to compare with the awarded duration); 3 = There are reasons for term changes, but they are partial; 5 = The reasons for all changes are available and reasonable, or no changes to the contracted term were observed.</w:t>
            </w:r>
          </w:p>
        </w:tc>
        <w:tc>
          <w:tcPr>
            <w:tcW w:w="900" w:type="dxa"/>
            <w:tcBorders>
              <w:bottom w:val="single" w:sz="6" w:space="0" w:color="000000"/>
              <w:right w:val="single" w:sz="6" w:space="0" w:color="000000"/>
            </w:tcBorders>
            <w:tcMar>
              <w:top w:w="40" w:type="dxa"/>
              <w:left w:w="40" w:type="dxa"/>
              <w:bottom w:w="40" w:type="dxa"/>
              <w:right w:w="40" w:type="dxa"/>
            </w:tcMar>
          </w:tcPr>
          <w:p w14:paraId="4BD0C3B0"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22F022C3"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53622FDB" w14:textId="77777777">
        <w:trPr>
          <w:trHeight w:val="159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A30E9E1"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4.1.5.5</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5189383A"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183EDA98" w14:textId="5DC88CD4"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 xml:space="preserve">Variation to </w:t>
            </w:r>
            <w:r w:rsidR="00050B1C">
              <w:rPr>
                <w:rFonts w:ascii="Arial" w:eastAsia="Arial" w:hAnsi="Arial" w:cs="Arial"/>
                <w:sz w:val="12"/>
                <w:szCs w:val="12"/>
              </w:rPr>
              <w:t xml:space="preserve">the </w:t>
            </w:r>
            <w:r w:rsidRPr="00E619C8">
              <w:rPr>
                <w:rFonts w:ascii="Arial" w:eastAsia="Arial" w:hAnsi="Arial" w:cs="Arial"/>
                <w:sz w:val="12"/>
                <w:szCs w:val="12"/>
              </w:rPr>
              <w:t>construction contract scope</w:t>
            </w:r>
          </w:p>
        </w:tc>
        <w:tc>
          <w:tcPr>
            <w:tcW w:w="1710" w:type="dxa"/>
            <w:tcBorders>
              <w:bottom w:val="single" w:sz="6" w:space="0" w:color="000000"/>
              <w:right w:val="single" w:sz="6" w:space="0" w:color="000000"/>
            </w:tcBorders>
            <w:tcMar>
              <w:top w:w="40" w:type="dxa"/>
              <w:left w:w="40" w:type="dxa"/>
              <w:bottom w:w="40" w:type="dxa"/>
              <w:right w:w="40" w:type="dxa"/>
            </w:tcMar>
          </w:tcPr>
          <w:p w14:paraId="3E54C4AC"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Modifications to the project scope, if they exist, are clearly indicated.</w:t>
            </w:r>
          </w:p>
        </w:tc>
        <w:tc>
          <w:tcPr>
            <w:tcW w:w="855" w:type="dxa"/>
            <w:tcBorders>
              <w:bottom w:val="single" w:sz="6" w:space="0" w:color="000000"/>
              <w:right w:val="single" w:sz="6" w:space="0" w:color="000000"/>
            </w:tcBorders>
            <w:tcMar>
              <w:top w:w="40" w:type="dxa"/>
              <w:left w:w="40" w:type="dxa"/>
              <w:bottom w:w="40" w:type="dxa"/>
              <w:right w:w="40" w:type="dxa"/>
            </w:tcMar>
          </w:tcPr>
          <w:p w14:paraId="5509D0F3"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74A1EBA4"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scope information, or variations to the contract scope are not pointed out when there is evidence that they exist, or the scope/outputs at the end of the contract are not available (to compare with the awarded scope); 5 = Variations are clearly pointed out if there is evidence that they exist, or no variations to the contract scope were observed.</w:t>
            </w:r>
          </w:p>
        </w:tc>
        <w:tc>
          <w:tcPr>
            <w:tcW w:w="900" w:type="dxa"/>
            <w:tcBorders>
              <w:bottom w:val="single" w:sz="6" w:space="0" w:color="000000"/>
              <w:right w:val="single" w:sz="6" w:space="0" w:color="000000"/>
            </w:tcBorders>
            <w:tcMar>
              <w:top w:w="40" w:type="dxa"/>
              <w:left w:w="40" w:type="dxa"/>
              <w:bottom w:w="40" w:type="dxa"/>
              <w:right w:w="40" w:type="dxa"/>
            </w:tcMar>
          </w:tcPr>
          <w:p w14:paraId="02D9EBF7"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7D3E2018"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13E484B6" w14:textId="77777777">
        <w:trPr>
          <w:trHeight w:val="188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78D2CDFB"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4.1.5.6</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4A3505D4"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6F2D6237"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Reasons for construction scope changes</w:t>
            </w:r>
          </w:p>
        </w:tc>
        <w:tc>
          <w:tcPr>
            <w:tcW w:w="1710" w:type="dxa"/>
            <w:tcBorders>
              <w:bottom w:val="single" w:sz="6" w:space="0" w:color="000000"/>
              <w:right w:val="single" w:sz="6" w:space="0" w:color="000000"/>
            </w:tcBorders>
            <w:tcMar>
              <w:top w:w="40" w:type="dxa"/>
              <w:left w:w="40" w:type="dxa"/>
              <w:bottom w:w="40" w:type="dxa"/>
              <w:right w:w="40" w:type="dxa"/>
            </w:tcMar>
          </w:tcPr>
          <w:p w14:paraId="3B1DCDC5" w14:textId="5CFE568D"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Justifications with arguments why changes were made to </w:t>
            </w:r>
            <w:r w:rsidR="00050B1C">
              <w:rPr>
                <w:rFonts w:ascii="Arial" w:eastAsia="Arial" w:hAnsi="Arial" w:cs="Arial"/>
                <w:sz w:val="12"/>
                <w:szCs w:val="12"/>
              </w:rPr>
              <w:t xml:space="preserve">the </w:t>
            </w:r>
            <w:r w:rsidRPr="00E619C8">
              <w:rPr>
                <w:rFonts w:ascii="Arial" w:eastAsia="Arial" w:hAnsi="Arial" w:cs="Arial"/>
                <w:sz w:val="12"/>
                <w:szCs w:val="12"/>
              </w:rPr>
              <w:t>project scope are available.</w:t>
            </w:r>
          </w:p>
        </w:tc>
        <w:tc>
          <w:tcPr>
            <w:tcW w:w="855" w:type="dxa"/>
            <w:tcBorders>
              <w:bottom w:val="single" w:sz="6" w:space="0" w:color="000000"/>
              <w:right w:val="single" w:sz="6" w:space="0" w:color="000000"/>
            </w:tcBorders>
            <w:tcMar>
              <w:top w:w="40" w:type="dxa"/>
              <w:left w:w="40" w:type="dxa"/>
              <w:bottom w:w="40" w:type="dxa"/>
              <w:right w:w="40" w:type="dxa"/>
            </w:tcMar>
          </w:tcPr>
          <w:p w14:paraId="016BC6BA"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1EB37DFA"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scope information, or the reasons for changes in the project scope are not available and changes were observed, or the scope/outputs at the end of the contract are not available (to compare with the awarded scope); 3 = There are reasons for scope changes, but they are partial; 5 = The reasons for all changes are available and reasonable, or no changes to the contracted scope were observed.</w:t>
            </w:r>
          </w:p>
        </w:tc>
        <w:tc>
          <w:tcPr>
            <w:tcW w:w="900" w:type="dxa"/>
            <w:tcBorders>
              <w:bottom w:val="single" w:sz="6" w:space="0" w:color="000000"/>
              <w:right w:val="single" w:sz="6" w:space="0" w:color="000000"/>
            </w:tcBorders>
            <w:tcMar>
              <w:top w:w="40" w:type="dxa"/>
              <w:left w:w="40" w:type="dxa"/>
              <w:bottom w:w="40" w:type="dxa"/>
              <w:right w:w="40" w:type="dxa"/>
            </w:tcMar>
          </w:tcPr>
          <w:p w14:paraId="66F4A055"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51B7D147"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6336A239" w14:textId="77777777">
        <w:trPr>
          <w:trHeight w:val="435"/>
        </w:trPr>
        <w:tc>
          <w:tcPr>
            <w:tcW w:w="690" w:type="dxa"/>
            <w:tcBorders>
              <w:top w:val="nil"/>
              <w:left w:val="single" w:sz="8" w:space="0" w:color="000000"/>
              <w:bottom w:val="single" w:sz="8" w:space="0" w:color="000000"/>
              <w:right w:val="single" w:sz="8" w:space="0" w:color="000000"/>
            </w:tcBorders>
            <w:shd w:val="clear" w:color="auto" w:fill="D9D9D9"/>
            <w:tcMar>
              <w:top w:w="100" w:type="dxa"/>
              <w:left w:w="80" w:type="dxa"/>
              <w:bottom w:w="100" w:type="dxa"/>
              <w:right w:w="80" w:type="dxa"/>
            </w:tcMar>
          </w:tcPr>
          <w:p w14:paraId="40C3ED85"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4.1.6</w:t>
            </w:r>
          </w:p>
        </w:tc>
        <w:tc>
          <w:tcPr>
            <w:tcW w:w="855"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377BD205"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Sub-variable</w:t>
            </w:r>
          </w:p>
        </w:tc>
        <w:tc>
          <w:tcPr>
            <w:tcW w:w="1140" w:type="dxa"/>
            <w:tcBorders>
              <w:left w:val="single" w:sz="6" w:space="0" w:color="000000"/>
              <w:bottom w:val="single" w:sz="6" w:space="0" w:color="000000"/>
              <w:right w:val="single" w:sz="6" w:space="0" w:color="000000"/>
            </w:tcBorders>
            <w:shd w:val="clear" w:color="auto" w:fill="D9D9D9"/>
            <w:tcMar>
              <w:top w:w="40" w:type="dxa"/>
              <w:left w:w="40" w:type="dxa"/>
              <w:bottom w:w="40" w:type="dxa"/>
              <w:right w:w="40" w:type="dxa"/>
            </w:tcMar>
          </w:tcPr>
          <w:p w14:paraId="2434E754"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Supervision contract implementation</w:t>
            </w:r>
          </w:p>
        </w:tc>
        <w:tc>
          <w:tcPr>
            <w:tcW w:w="1710" w:type="dxa"/>
            <w:tcBorders>
              <w:bottom w:val="single" w:sz="6" w:space="0" w:color="000000"/>
              <w:right w:val="single" w:sz="6" w:space="0" w:color="000000"/>
            </w:tcBorders>
            <w:shd w:val="clear" w:color="auto" w:fill="D9D9D9"/>
            <w:tcMar>
              <w:top w:w="40" w:type="dxa"/>
              <w:left w:w="40" w:type="dxa"/>
              <w:bottom w:w="40" w:type="dxa"/>
              <w:right w:w="40" w:type="dxa"/>
            </w:tcMar>
          </w:tcPr>
          <w:p w14:paraId="1C9B4F5E"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855" w:type="dxa"/>
            <w:tcBorders>
              <w:bottom w:val="single" w:sz="6" w:space="0" w:color="000000"/>
              <w:right w:val="single" w:sz="6" w:space="0" w:color="000000"/>
            </w:tcBorders>
            <w:shd w:val="clear" w:color="auto" w:fill="D9D9D9"/>
            <w:tcMar>
              <w:top w:w="40" w:type="dxa"/>
              <w:left w:w="40" w:type="dxa"/>
              <w:bottom w:w="40" w:type="dxa"/>
              <w:right w:w="40" w:type="dxa"/>
            </w:tcMar>
          </w:tcPr>
          <w:p w14:paraId="0D40986D" w14:textId="77777777" w:rsidR="002033A5" w:rsidRPr="00E619C8" w:rsidRDefault="002033A5">
            <w:pPr>
              <w:pBdr>
                <w:top w:val="nil"/>
                <w:left w:val="nil"/>
                <w:bottom w:val="nil"/>
                <w:right w:val="nil"/>
                <w:between w:val="nil"/>
              </w:pBdr>
              <w:spacing w:after="160" w:line="276" w:lineRule="auto"/>
              <w:rPr>
                <w:rFonts w:ascii="Arial" w:eastAsia="Arial" w:hAnsi="Arial" w:cs="Arial"/>
                <w:sz w:val="12"/>
                <w:szCs w:val="12"/>
              </w:rPr>
            </w:pPr>
          </w:p>
        </w:tc>
        <w:tc>
          <w:tcPr>
            <w:tcW w:w="1950" w:type="dxa"/>
            <w:tcBorders>
              <w:bottom w:val="single" w:sz="6" w:space="0" w:color="000000"/>
              <w:right w:val="single" w:sz="6" w:space="0" w:color="000000"/>
            </w:tcBorders>
            <w:shd w:val="clear" w:color="auto" w:fill="D9D9D9"/>
            <w:tcMar>
              <w:top w:w="40" w:type="dxa"/>
              <w:left w:w="40" w:type="dxa"/>
              <w:bottom w:w="40" w:type="dxa"/>
              <w:right w:w="40" w:type="dxa"/>
            </w:tcMar>
          </w:tcPr>
          <w:p w14:paraId="022447D2" w14:textId="77777777" w:rsidR="002033A5" w:rsidRPr="00E619C8" w:rsidRDefault="002033A5">
            <w:pPr>
              <w:pBdr>
                <w:top w:val="nil"/>
                <w:left w:val="nil"/>
                <w:bottom w:val="nil"/>
                <w:right w:val="nil"/>
                <w:between w:val="nil"/>
              </w:pBdr>
              <w:spacing w:line="276" w:lineRule="auto"/>
              <w:rPr>
                <w:rFonts w:ascii="Arial" w:eastAsia="Arial" w:hAnsi="Arial" w:cs="Arial"/>
                <w:sz w:val="12"/>
                <w:szCs w:val="12"/>
              </w:rPr>
            </w:pPr>
          </w:p>
        </w:tc>
        <w:tc>
          <w:tcPr>
            <w:tcW w:w="900" w:type="dxa"/>
            <w:tcBorders>
              <w:bottom w:val="single" w:sz="6" w:space="0" w:color="000000"/>
              <w:right w:val="single" w:sz="6" w:space="0" w:color="000000"/>
            </w:tcBorders>
            <w:shd w:val="clear" w:color="auto" w:fill="D9D9D9"/>
            <w:tcMar>
              <w:top w:w="40" w:type="dxa"/>
              <w:left w:w="40" w:type="dxa"/>
              <w:bottom w:w="40" w:type="dxa"/>
              <w:right w:w="40" w:type="dxa"/>
            </w:tcMar>
          </w:tcPr>
          <w:p w14:paraId="44E3FBEF"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shd w:val="clear" w:color="auto" w:fill="D9D9D9"/>
            <w:tcMar>
              <w:top w:w="100" w:type="dxa"/>
              <w:left w:w="80" w:type="dxa"/>
              <w:bottom w:w="100" w:type="dxa"/>
              <w:right w:w="80" w:type="dxa"/>
            </w:tcMar>
          </w:tcPr>
          <w:p w14:paraId="7944E5F3"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 xml:space="preserve"> </w:t>
            </w:r>
          </w:p>
        </w:tc>
      </w:tr>
      <w:tr w:rsidR="002033A5" w:rsidRPr="00E619C8" w14:paraId="6D451051" w14:textId="77777777">
        <w:trPr>
          <w:trHeight w:val="90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41FA43CB"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4.1.6.1</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3907897B"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7131F924" w14:textId="2FB5FFAB"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 xml:space="preserve">Variation to </w:t>
            </w:r>
            <w:r w:rsidR="00050B1C">
              <w:rPr>
                <w:rFonts w:ascii="Arial" w:eastAsia="Arial" w:hAnsi="Arial" w:cs="Arial"/>
                <w:sz w:val="12"/>
                <w:szCs w:val="12"/>
              </w:rPr>
              <w:t xml:space="preserve">the </w:t>
            </w:r>
            <w:r w:rsidRPr="00E619C8">
              <w:rPr>
                <w:rFonts w:ascii="Arial" w:eastAsia="Arial" w:hAnsi="Arial" w:cs="Arial"/>
                <w:sz w:val="12"/>
                <w:szCs w:val="12"/>
              </w:rPr>
              <w:t>supervision contract price</w:t>
            </w:r>
          </w:p>
        </w:tc>
        <w:tc>
          <w:tcPr>
            <w:tcW w:w="1710" w:type="dxa"/>
            <w:tcBorders>
              <w:bottom w:val="single" w:sz="6" w:space="0" w:color="000000"/>
              <w:right w:val="single" w:sz="6" w:space="0" w:color="000000"/>
            </w:tcBorders>
            <w:tcMar>
              <w:top w:w="40" w:type="dxa"/>
              <w:left w:w="40" w:type="dxa"/>
              <w:bottom w:w="40" w:type="dxa"/>
              <w:right w:w="40" w:type="dxa"/>
            </w:tcMar>
          </w:tcPr>
          <w:p w14:paraId="252FC288"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It is clearly indicated whether variations to the contract price have been made.</w:t>
            </w:r>
          </w:p>
        </w:tc>
        <w:tc>
          <w:tcPr>
            <w:tcW w:w="855" w:type="dxa"/>
            <w:tcBorders>
              <w:bottom w:val="single" w:sz="6" w:space="0" w:color="000000"/>
              <w:right w:val="single" w:sz="6" w:space="0" w:color="000000"/>
            </w:tcBorders>
            <w:tcMar>
              <w:top w:w="40" w:type="dxa"/>
              <w:left w:w="40" w:type="dxa"/>
              <w:bottom w:w="40" w:type="dxa"/>
              <w:right w:w="40" w:type="dxa"/>
            </w:tcMar>
          </w:tcPr>
          <w:p w14:paraId="344696D3"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1314F811"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price information, or price variations are not pointed out when there is evidence that they exist, or the price at the end of the contract is not available (to compare with the initial awarded price); 5 = The price variations are clearly pointed out if there is evidence that they exist, or no price variations were observed.</w:t>
            </w:r>
          </w:p>
        </w:tc>
        <w:tc>
          <w:tcPr>
            <w:tcW w:w="900" w:type="dxa"/>
            <w:tcBorders>
              <w:bottom w:val="single" w:sz="6" w:space="0" w:color="000000"/>
              <w:right w:val="single" w:sz="6" w:space="0" w:color="000000"/>
            </w:tcBorders>
            <w:tcMar>
              <w:top w:w="40" w:type="dxa"/>
              <w:left w:w="40" w:type="dxa"/>
              <w:bottom w:w="40" w:type="dxa"/>
              <w:right w:w="40" w:type="dxa"/>
            </w:tcMar>
          </w:tcPr>
          <w:p w14:paraId="267D6EBB"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350DCB82"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3E504935" w14:textId="77777777">
        <w:trPr>
          <w:trHeight w:val="188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D8FE851"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4.1.6.2</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64D02CB0"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214F3DCC"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Reasons for supervision price changes</w:t>
            </w:r>
          </w:p>
        </w:tc>
        <w:tc>
          <w:tcPr>
            <w:tcW w:w="1710" w:type="dxa"/>
            <w:tcBorders>
              <w:bottom w:val="single" w:sz="6" w:space="0" w:color="000000"/>
              <w:right w:val="single" w:sz="6" w:space="0" w:color="000000"/>
            </w:tcBorders>
            <w:tcMar>
              <w:top w:w="40" w:type="dxa"/>
              <w:left w:w="40" w:type="dxa"/>
              <w:bottom w:w="40" w:type="dxa"/>
              <w:right w:w="40" w:type="dxa"/>
            </w:tcMar>
          </w:tcPr>
          <w:p w14:paraId="78027720"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Justifications with arguments why changes were made to the contract price are available.</w:t>
            </w:r>
          </w:p>
        </w:tc>
        <w:tc>
          <w:tcPr>
            <w:tcW w:w="855" w:type="dxa"/>
            <w:tcBorders>
              <w:bottom w:val="single" w:sz="6" w:space="0" w:color="000000"/>
              <w:right w:val="single" w:sz="6" w:space="0" w:color="000000"/>
            </w:tcBorders>
            <w:tcMar>
              <w:top w:w="40" w:type="dxa"/>
              <w:left w:w="40" w:type="dxa"/>
              <w:bottom w:w="40" w:type="dxa"/>
              <w:right w:w="40" w:type="dxa"/>
            </w:tcMar>
          </w:tcPr>
          <w:p w14:paraId="11A0F36D"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66A7462E"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price information, or reasons for price changes are not available and price changes were observed, or payed price at the end of the contract is not available (to compare with the awarded price); 3 = There are reasons for price changes, but they are partial; 5 = The reasons for all changes are available, or no changes to the contracted price were observed.</w:t>
            </w:r>
          </w:p>
        </w:tc>
        <w:tc>
          <w:tcPr>
            <w:tcW w:w="900" w:type="dxa"/>
            <w:tcBorders>
              <w:bottom w:val="single" w:sz="6" w:space="0" w:color="000000"/>
              <w:right w:val="single" w:sz="6" w:space="0" w:color="000000"/>
            </w:tcBorders>
            <w:tcMar>
              <w:top w:w="40" w:type="dxa"/>
              <w:left w:w="40" w:type="dxa"/>
              <w:bottom w:w="40" w:type="dxa"/>
              <w:right w:w="40" w:type="dxa"/>
            </w:tcMar>
          </w:tcPr>
          <w:p w14:paraId="3A3C4BA5"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362ED93A"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51EB7D65" w14:textId="77777777">
        <w:trPr>
          <w:trHeight w:val="159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29154681"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4.1.6.3</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303E8AF2"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6A6535B6" w14:textId="3CBABD5C"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 xml:space="preserve">Variation to </w:t>
            </w:r>
            <w:r w:rsidR="00050B1C">
              <w:rPr>
                <w:rFonts w:ascii="Arial" w:eastAsia="Arial" w:hAnsi="Arial" w:cs="Arial"/>
                <w:sz w:val="12"/>
                <w:szCs w:val="12"/>
              </w:rPr>
              <w:t xml:space="preserve">the </w:t>
            </w:r>
            <w:r w:rsidRPr="00E619C8">
              <w:rPr>
                <w:rFonts w:ascii="Arial" w:eastAsia="Arial" w:hAnsi="Arial" w:cs="Arial"/>
                <w:sz w:val="12"/>
                <w:szCs w:val="12"/>
              </w:rPr>
              <w:t>supervision contract duration</w:t>
            </w:r>
          </w:p>
        </w:tc>
        <w:tc>
          <w:tcPr>
            <w:tcW w:w="1710" w:type="dxa"/>
            <w:tcBorders>
              <w:bottom w:val="single" w:sz="6" w:space="0" w:color="000000"/>
              <w:right w:val="single" w:sz="6" w:space="0" w:color="000000"/>
            </w:tcBorders>
            <w:tcMar>
              <w:top w:w="40" w:type="dxa"/>
              <w:left w:w="40" w:type="dxa"/>
              <w:bottom w:w="40" w:type="dxa"/>
              <w:right w:w="40" w:type="dxa"/>
            </w:tcMar>
          </w:tcPr>
          <w:p w14:paraId="47CA721D"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Contract duration modifications are clearly pointed out, if made.</w:t>
            </w:r>
          </w:p>
        </w:tc>
        <w:tc>
          <w:tcPr>
            <w:tcW w:w="855" w:type="dxa"/>
            <w:tcBorders>
              <w:bottom w:val="single" w:sz="6" w:space="0" w:color="000000"/>
              <w:right w:val="single" w:sz="6" w:space="0" w:color="000000"/>
            </w:tcBorders>
            <w:tcMar>
              <w:top w:w="40" w:type="dxa"/>
              <w:left w:w="40" w:type="dxa"/>
              <w:bottom w:w="40" w:type="dxa"/>
              <w:right w:w="40" w:type="dxa"/>
            </w:tcMar>
          </w:tcPr>
          <w:p w14:paraId="3C88AB10"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62174732"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duration information, or variations to the contract duration are not pointed out when there is evidence that they exist, or the duration at the end of the contract is not available (to compare with the awarded duration); 5 = Variations are clearly pointed out if there is evidence that they exist, or no variations to the contract duration were observed.</w:t>
            </w:r>
          </w:p>
        </w:tc>
        <w:tc>
          <w:tcPr>
            <w:tcW w:w="900" w:type="dxa"/>
            <w:tcBorders>
              <w:bottom w:val="single" w:sz="6" w:space="0" w:color="000000"/>
              <w:right w:val="single" w:sz="6" w:space="0" w:color="000000"/>
            </w:tcBorders>
            <w:tcMar>
              <w:top w:w="40" w:type="dxa"/>
              <w:left w:w="40" w:type="dxa"/>
              <w:bottom w:w="40" w:type="dxa"/>
              <w:right w:w="40" w:type="dxa"/>
            </w:tcMar>
          </w:tcPr>
          <w:p w14:paraId="321346D2"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2890B138"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10AB2A2D" w14:textId="77777777">
        <w:trPr>
          <w:trHeight w:val="1577"/>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5236738B"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4.1.6.4</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0DFB6BE6"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01670637"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Reasons for supervision duration changes</w:t>
            </w:r>
          </w:p>
        </w:tc>
        <w:tc>
          <w:tcPr>
            <w:tcW w:w="1710" w:type="dxa"/>
            <w:tcBorders>
              <w:bottom w:val="single" w:sz="6" w:space="0" w:color="000000"/>
              <w:right w:val="single" w:sz="6" w:space="0" w:color="000000"/>
            </w:tcBorders>
            <w:tcMar>
              <w:top w:w="40" w:type="dxa"/>
              <w:left w:w="40" w:type="dxa"/>
              <w:bottom w:w="40" w:type="dxa"/>
              <w:right w:w="40" w:type="dxa"/>
            </w:tcMar>
          </w:tcPr>
          <w:p w14:paraId="68660D2C"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Justifications with arguments why changes were made to the contract duration are available.</w:t>
            </w:r>
          </w:p>
        </w:tc>
        <w:tc>
          <w:tcPr>
            <w:tcW w:w="855" w:type="dxa"/>
            <w:tcBorders>
              <w:bottom w:val="single" w:sz="6" w:space="0" w:color="000000"/>
              <w:right w:val="single" w:sz="6" w:space="0" w:color="000000"/>
            </w:tcBorders>
            <w:tcMar>
              <w:top w:w="40" w:type="dxa"/>
              <w:left w:w="40" w:type="dxa"/>
              <w:bottom w:w="40" w:type="dxa"/>
              <w:right w:w="40" w:type="dxa"/>
            </w:tcMar>
          </w:tcPr>
          <w:p w14:paraId="2E143CBC"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596ABEE1"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duration information, or the reasons for changes in the duration are not available and duration changes were observed, or the duration at the end of the contract is not available (to compare with the awarded duration); 3 = There are reasons for term changes, but they are partial; 5 = The reasons for all changes are available, or no changes to the contracted term were observed.</w:t>
            </w:r>
          </w:p>
        </w:tc>
        <w:tc>
          <w:tcPr>
            <w:tcW w:w="900" w:type="dxa"/>
            <w:tcBorders>
              <w:bottom w:val="single" w:sz="6" w:space="0" w:color="000000"/>
              <w:right w:val="single" w:sz="6" w:space="0" w:color="000000"/>
            </w:tcBorders>
            <w:tcMar>
              <w:top w:w="40" w:type="dxa"/>
              <w:left w:w="40" w:type="dxa"/>
              <w:bottom w:w="40" w:type="dxa"/>
              <w:right w:w="40" w:type="dxa"/>
            </w:tcMar>
          </w:tcPr>
          <w:p w14:paraId="6F299B9F"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0.25</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2A441375"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00E91EE1" w14:textId="77777777">
        <w:trPr>
          <w:trHeight w:val="1595"/>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117DBC71"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4.1.6.5</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1FB30874"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325815F8" w14:textId="75F3DA7E"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 xml:space="preserve">Variation to </w:t>
            </w:r>
            <w:r w:rsidR="00050B1C">
              <w:rPr>
                <w:rFonts w:ascii="Arial" w:eastAsia="Arial" w:hAnsi="Arial" w:cs="Arial"/>
                <w:sz w:val="12"/>
                <w:szCs w:val="12"/>
              </w:rPr>
              <w:t xml:space="preserve">the </w:t>
            </w:r>
            <w:r w:rsidRPr="00E619C8">
              <w:rPr>
                <w:rFonts w:ascii="Arial" w:eastAsia="Arial" w:hAnsi="Arial" w:cs="Arial"/>
                <w:sz w:val="12"/>
                <w:szCs w:val="12"/>
              </w:rPr>
              <w:t>supervision contract scope</w:t>
            </w:r>
          </w:p>
        </w:tc>
        <w:tc>
          <w:tcPr>
            <w:tcW w:w="1710" w:type="dxa"/>
            <w:tcBorders>
              <w:bottom w:val="single" w:sz="6" w:space="0" w:color="000000"/>
              <w:right w:val="single" w:sz="6" w:space="0" w:color="000000"/>
            </w:tcBorders>
            <w:tcMar>
              <w:top w:w="40" w:type="dxa"/>
              <w:left w:w="40" w:type="dxa"/>
              <w:bottom w:w="40" w:type="dxa"/>
              <w:right w:w="40" w:type="dxa"/>
            </w:tcMar>
          </w:tcPr>
          <w:p w14:paraId="784F9E09"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Modifications to the project scope, if they exist, are clearly pointed out.</w:t>
            </w:r>
          </w:p>
        </w:tc>
        <w:tc>
          <w:tcPr>
            <w:tcW w:w="855" w:type="dxa"/>
            <w:tcBorders>
              <w:bottom w:val="single" w:sz="6" w:space="0" w:color="000000"/>
              <w:right w:val="single" w:sz="6" w:space="0" w:color="000000"/>
            </w:tcBorders>
            <w:tcMar>
              <w:top w:w="40" w:type="dxa"/>
              <w:left w:w="40" w:type="dxa"/>
              <w:bottom w:w="40" w:type="dxa"/>
              <w:right w:w="40" w:type="dxa"/>
            </w:tcMar>
          </w:tcPr>
          <w:p w14:paraId="216EC265"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31247196"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scope information, or variations to the contract scope are not pointed out when there is evidence that they exist, or the scope/outputs at the end of the contract are not available (to compare with the awarded scope); 5 = Variations are clearly pointed out if there is evidence that they exist, or no variations to the contract scope were observed.</w:t>
            </w:r>
          </w:p>
        </w:tc>
        <w:tc>
          <w:tcPr>
            <w:tcW w:w="900" w:type="dxa"/>
            <w:tcBorders>
              <w:bottom w:val="single" w:sz="6" w:space="0" w:color="000000"/>
              <w:right w:val="single" w:sz="6" w:space="0" w:color="000000"/>
            </w:tcBorders>
            <w:tcMar>
              <w:top w:w="40" w:type="dxa"/>
              <w:left w:w="40" w:type="dxa"/>
              <w:bottom w:w="40" w:type="dxa"/>
              <w:right w:w="40" w:type="dxa"/>
            </w:tcMar>
          </w:tcPr>
          <w:p w14:paraId="5E26599D"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0.1</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0048B8E0"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r w:rsidR="002033A5" w:rsidRPr="00E619C8" w14:paraId="7A5A68AB" w14:textId="77777777">
        <w:trPr>
          <w:trHeight w:val="1880"/>
        </w:trPr>
        <w:tc>
          <w:tcPr>
            <w:tcW w:w="690" w:type="dxa"/>
            <w:tcBorders>
              <w:top w:val="nil"/>
              <w:left w:val="single" w:sz="8" w:space="0" w:color="000000"/>
              <w:bottom w:val="single" w:sz="8" w:space="0" w:color="000000"/>
              <w:right w:val="single" w:sz="8" w:space="0" w:color="000000"/>
            </w:tcBorders>
            <w:tcMar>
              <w:top w:w="100" w:type="dxa"/>
              <w:left w:w="80" w:type="dxa"/>
              <w:bottom w:w="100" w:type="dxa"/>
              <w:right w:w="80" w:type="dxa"/>
            </w:tcMar>
          </w:tcPr>
          <w:p w14:paraId="0A524561" w14:textId="77777777" w:rsidR="002033A5" w:rsidRPr="00E619C8" w:rsidRDefault="00E113EC">
            <w:pPr>
              <w:spacing w:after="160" w:line="276" w:lineRule="auto"/>
              <w:ind w:left="-180"/>
              <w:jc w:val="center"/>
              <w:rPr>
                <w:rFonts w:ascii="Arial" w:eastAsia="Arial" w:hAnsi="Arial" w:cs="Arial"/>
                <w:sz w:val="12"/>
                <w:szCs w:val="12"/>
              </w:rPr>
            </w:pPr>
            <w:r w:rsidRPr="00E619C8">
              <w:rPr>
                <w:rFonts w:ascii="Arial" w:eastAsia="Arial" w:hAnsi="Arial" w:cs="Arial"/>
                <w:sz w:val="12"/>
                <w:szCs w:val="12"/>
              </w:rPr>
              <w:t>4.1.6.6</w:t>
            </w:r>
          </w:p>
        </w:tc>
        <w:tc>
          <w:tcPr>
            <w:tcW w:w="855" w:type="dxa"/>
            <w:tcBorders>
              <w:top w:val="nil"/>
              <w:left w:val="nil"/>
              <w:bottom w:val="single" w:sz="8" w:space="0" w:color="000000"/>
              <w:right w:val="single" w:sz="8" w:space="0" w:color="000000"/>
            </w:tcBorders>
            <w:tcMar>
              <w:top w:w="100" w:type="dxa"/>
              <w:left w:w="80" w:type="dxa"/>
              <w:bottom w:w="100" w:type="dxa"/>
              <w:right w:w="80" w:type="dxa"/>
            </w:tcMar>
          </w:tcPr>
          <w:p w14:paraId="113C5F76" w14:textId="77777777" w:rsidR="002033A5" w:rsidRPr="00E619C8" w:rsidRDefault="00E113EC">
            <w:pPr>
              <w:spacing w:after="160" w:line="276" w:lineRule="auto"/>
              <w:ind w:left="-12"/>
              <w:jc w:val="both"/>
              <w:rPr>
                <w:rFonts w:ascii="Arial" w:eastAsia="Arial" w:hAnsi="Arial" w:cs="Arial"/>
                <w:sz w:val="12"/>
                <w:szCs w:val="12"/>
              </w:rPr>
            </w:pPr>
            <w:r w:rsidRPr="00E619C8">
              <w:rPr>
                <w:rFonts w:ascii="Arial" w:eastAsia="Arial" w:hAnsi="Arial" w:cs="Arial"/>
                <w:sz w:val="12"/>
                <w:szCs w:val="12"/>
              </w:rPr>
              <w:t>Indicator</w:t>
            </w:r>
          </w:p>
        </w:tc>
        <w:tc>
          <w:tcPr>
            <w:tcW w:w="1140" w:type="dxa"/>
            <w:tcBorders>
              <w:left w:val="single" w:sz="6" w:space="0" w:color="000000"/>
              <w:bottom w:val="single" w:sz="6" w:space="0" w:color="000000"/>
              <w:right w:val="single" w:sz="6" w:space="0" w:color="000000"/>
            </w:tcBorders>
            <w:tcMar>
              <w:top w:w="40" w:type="dxa"/>
              <w:left w:w="40" w:type="dxa"/>
              <w:bottom w:w="40" w:type="dxa"/>
              <w:right w:w="40" w:type="dxa"/>
            </w:tcMar>
          </w:tcPr>
          <w:p w14:paraId="5426FA06"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Reasons for supervision scope changes</w:t>
            </w:r>
          </w:p>
        </w:tc>
        <w:tc>
          <w:tcPr>
            <w:tcW w:w="1710" w:type="dxa"/>
            <w:tcBorders>
              <w:bottom w:val="single" w:sz="6" w:space="0" w:color="000000"/>
              <w:right w:val="single" w:sz="6" w:space="0" w:color="000000"/>
            </w:tcBorders>
            <w:tcMar>
              <w:top w:w="40" w:type="dxa"/>
              <w:left w:w="40" w:type="dxa"/>
              <w:bottom w:w="40" w:type="dxa"/>
              <w:right w:w="40" w:type="dxa"/>
            </w:tcMar>
          </w:tcPr>
          <w:p w14:paraId="76528EF2" w14:textId="18108C6A"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 xml:space="preserve">Justifications with arguments why changes were made to </w:t>
            </w:r>
            <w:r w:rsidR="00050B1C">
              <w:rPr>
                <w:rFonts w:ascii="Arial" w:eastAsia="Arial" w:hAnsi="Arial" w:cs="Arial"/>
                <w:sz w:val="12"/>
                <w:szCs w:val="12"/>
              </w:rPr>
              <w:t xml:space="preserve">the </w:t>
            </w:r>
            <w:r w:rsidRPr="00E619C8">
              <w:rPr>
                <w:rFonts w:ascii="Arial" w:eastAsia="Arial" w:hAnsi="Arial" w:cs="Arial"/>
                <w:sz w:val="12"/>
                <w:szCs w:val="12"/>
              </w:rPr>
              <w:t>project scope are available.</w:t>
            </w:r>
          </w:p>
        </w:tc>
        <w:tc>
          <w:tcPr>
            <w:tcW w:w="855" w:type="dxa"/>
            <w:tcBorders>
              <w:bottom w:val="single" w:sz="6" w:space="0" w:color="000000"/>
              <w:right w:val="single" w:sz="6" w:space="0" w:color="000000"/>
            </w:tcBorders>
            <w:tcMar>
              <w:top w:w="40" w:type="dxa"/>
              <w:left w:w="40" w:type="dxa"/>
              <w:bottom w:w="40" w:type="dxa"/>
              <w:right w:w="40" w:type="dxa"/>
            </w:tcMar>
          </w:tcPr>
          <w:p w14:paraId="5842C0CA" w14:textId="77777777" w:rsidR="002033A5" w:rsidRPr="00E619C8" w:rsidRDefault="00E113EC">
            <w:pPr>
              <w:pBdr>
                <w:top w:val="nil"/>
                <w:left w:val="nil"/>
                <w:bottom w:val="nil"/>
                <w:right w:val="nil"/>
                <w:between w:val="nil"/>
              </w:pBdr>
              <w:spacing w:after="160" w:line="276" w:lineRule="auto"/>
              <w:rPr>
                <w:rFonts w:ascii="Arial" w:eastAsia="Arial" w:hAnsi="Arial" w:cs="Arial"/>
                <w:sz w:val="12"/>
                <w:szCs w:val="12"/>
              </w:rPr>
            </w:pPr>
            <w:r w:rsidRPr="00E619C8">
              <w:rPr>
                <w:rFonts w:ascii="Arial" w:eastAsia="Arial" w:hAnsi="Arial" w:cs="Arial"/>
                <w:sz w:val="12"/>
                <w:szCs w:val="12"/>
              </w:rPr>
              <w:t>Contract data on the web</w:t>
            </w:r>
          </w:p>
        </w:tc>
        <w:tc>
          <w:tcPr>
            <w:tcW w:w="1950" w:type="dxa"/>
            <w:tcBorders>
              <w:bottom w:val="single" w:sz="6" w:space="0" w:color="000000"/>
              <w:right w:val="single" w:sz="6" w:space="0" w:color="000000"/>
            </w:tcBorders>
            <w:tcMar>
              <w:top w:w="40" w:type="dxa"/>
              <w:left w:w="40" w:type="dxa"/>
              <w:bottom w:w="40" w:type="dxa"/>
              <w:right w:w="40" w:type="dxa"/>
            </w:tcMar>
          </w:tcPr>
          <w:p w14:paraId="13EAEE5C" w14:textId="77777777" w:rsidR="002033A5" w:rsidRPr="00E619C8" w:rsidRDefault="00E113EC">
            <w:pPr>
              <w:pBdr>
                <w:top w:val="nil"/>
                <w:left w:val="nil"/>
                <w:bottom w:val="nil"/>
                <w:right w:val="nil"/>
                <w:between w:val="nil"/>
              </w:pBdr>
              <w:spacing w:line="276" w:lineRule="auto"/>
              <w:rPr>
                <w:rFonts w:ascii="Arial" w:eastAsia="Arial" w:hAnsi="Arial" w:cs="Arial"/>
                <w:sz w:val="12"/>
                <w:szCs w:val="12"/>
              </w:rPr>
            </w:pPr>
            <w:r w:rsidRPr="00E619C8">
              <w:rPr>
                <w:rFonts w:ascii="Arial" w:eastAsia="Arial" w:hAnsi="Arial" w:cs="Arial"/>
                <w:sz w:val="12"/>
                <w:szCs w:val="12"/>
              </w:rPr>
              <w:t>0 = There is no scope information, or the reasons for changes in the project scope are not available and they were observed, or the scope/outputs at the end of the contract are not available (to compare with the awarded scope); 3 = There are reasons for scope changes, but they are partial; 5 = The reasons for all changes are available, or no changes to the contracted scope were observed.</w:t>
            </w:r>
          </w:p>
        </w:tc>
        <w:tc>
          <w:tcPr>
            <w:tcW w:w="900" w:type="dxa"/>
            <w:tcBorders>
              <w:bottom w:val="single" w:sz="6" w:space="0" w:color="000000"/>
              <w:right w:val="single" w:sz="6" w:space="0" w:color="000000"/>
            </w:tcBorders>
            <w:tcMar>
              <w:top w:w="40" w:type="dxa"/>
              <w:left w:w="40" w:type="dxa"/>
              <w:bottom w:w="40" w:type="dxa"/>
              <w:right w:w="40" w:type="dxa"/>
            </w:tcMar>
          </w:tcPr>
          <w:p w14:paraId="36C70542" w14:textId="77777777" w:rsidR="002033A5" w:rsidRPr="00E619C8" w:rsidRDefault="00E113EC">
            <w:pPr>
              <w:pBdr>
                <w:top w:val="nil"/>
                <w:left w:val="nil"/>
                <w:bottom w:val="nil"/>
                <w:right w:val="nil"/>
                <w:between w:val="nil"/>
              </w:pBdr>
              <w:spacing w:after="160" w:line="276" w:lineRule="auto"/>
              <w:jc w:val="center"/>
              <w:rPr>
                <w:rFonts w:ascii="Arial" w:eastAsia="Arial" w:hAnsi="Arial" w:cs="Arial"/>
                <w:sz w:val="12"/>
                <w:szCs w:val="12"/>
              </w:rPr>
            </w:pPr>
            <w:r w:rsidRPr="00E619C8">
              <w:rPr>
                <w:rFonts w:ascii="Arial" w:eastAsia="Arial" w:hAnsi="Arial" w:cs="Arial"/>
                <w:sz w:val="12"/>
                <w:szCs w:val="12"/>
              </w:rPr>
              <w:t>0.2</w:t>
            </w:r>
          </w:p>
        </w:tc>
        <w:tc>
          <w:tcPr>
            <w:tcW w:w="930" w:type="dxa"/>
            <w:tcBorders>
              <w:top w:val="nil"/>
              <w:left w:val="nil"/>
              <w:bottom w:val="single" w:sz="8" w:space="0" w:color="000000"/>
              <w:right w:val="single" w:sz="8" w:space="0" w:color="000000"/>
            </w:tcBorders>
            <w:tcMar>
              <w:top w:w="100" w:type="dxa"/>
              <w:left w:w="80" w:type="dxa"/>
              <w:bottom w:w="100" w:type="dxa"/>
              <w:right w:w="80" w:type="dxa"/>
            </w:tcMar>
          </w:tcPr>
          <w:p w14:paraId="0C21738C" w14:textId="77777777" w:rsidR="002033A5" w:rsidRPr="00E619C8" w:rsidRDefault="00E113EC">
            <w:pPr>
              <w:spacing w:after="160" w:line="276" w:lineRule="auto"/>
              <w:jc w:val="center"/>
              <w:rPr>
                <w:rFonts w:ascii="Arial" w:eastAsia="Arial" w:hAnsi="Arial" w:cs="Arial"/>
                <w:sz w:val="12"/>
                <w:szCs w:val="12"/>
              </w:rPr>
            </w:pPr>
            <w:r w:rsidRPr="00E619C8">
              <w:rPr>
                <w:rFonts w:ascii="Arial" w:eastAsia="Arial" w:hAnsi="Arial" w:cs="Arial"/>
                <w:sz w:val="12"/>
                <w:szCs w:val="12"/>
              </w:rPr>
              <w:t>Institutional by project</w:t>
            </w:r>
          </w:p>
        </w:tc>
      </w:tr>
    </w:tbl>
    <w:p w14:paraId="796E6BC4" w14:textId="77777777" w:rsidR="002033A5" w:rsidRPr="00E619C8" w:rsidRDefault="00E113EC">
      <w:pPr>
        <w:spacing w:after="160" w:line="256" w:lineRule="auto"/>
        <w:jc w:val="both"/>
        <w:rPr>
          <w:rFonts w:ascii="Calibri" w:eastAsia="Calibri" w:hAnsi="Calibri" w:cs="Calibri"/>
          <w:sz w:val="22"/>
          <w:szCs w:val="22"/>
        </w:rPr>
      </w:pPr>
      <w:r w:rsidRPr="00E619C8">
        <w:rPr>
          <w:rFonts w:ascii="Calibri" w:eastAsia="Calibri" w:hAnsi="Calibri" w:cs="Calibri"/>
          <w:sz w:val="22"/>
          <w:szCs w:val="22"/>
        </w:rPr>
        <w:t xml:space="preserve"> </w:t>
      </w:r>
    </w:p>
    <w:p w14:paraId="1C2943F4" w14:textId="77777777" w:rsidR="002033A5" w:rsidRPr="00E619C8" w:rsidRDefault="002033A5">
      <w:pPr>
        <w:pBdr>
          <w:top w:val="nil"/>
          <w:left w:val="nil"/>
          <w:bottom w:val="nil"/>
          <w:right w:val="nil"/>
          <w:between w:val="nil"/>
        </w:pBdr>
        <w:spacing w:after="160" w:line="300" w:lineRule="auto"/>
        <w:jc w:val="both"/>
        <w:rPr>
          <w:rFonts w:ascii="Arial" w:eastAsia="Arial" w:hAnsi="Arial" w:cs="Arial"/>
          <w:sz w:val="22"/>
          <w:szCs w:val="22"/>
        </w:rPr>
      </w:pPr>
    </w:p>
    <w:p w14:paraId="7620A3F4" w14:textId="77777777" w:rsidR="002033A5" w:rsidRPr="00E619C8" w:rsidRDefault="00E113EC">
      <w:pPr>
        <w:pBdr>
          <w:top w:val="nil"/>
          <w:left w:val="nil"/>
          <w:bottom w:val="nil"/>
          <w:right w:val="nil"/>
          <w:between w:val="nil"/>
        </w:pBdr>
        <w:spacing w:after="160" w:line="300" w:lineRule="auto"/>
        <w:jc w:val="both"/>
        <w:rPr>
          <w:rFonts w:ascii="Arial" w:eastAsia="Arial" w:hAnsi="Arial" w:cs="Arial"/>
          <w:sz w:val="22"/>
          <w:szCs w:val="22"/>
        </w:rPr>
      </w:pPr>
      <w:r w:rsidRPr="00E619C8">
        <w:br w:type="page"/>
      </w:r>
    </w:p>
    <w:p w14:paraId="5D3ED04F" w14:textId="77777777" w:rsidR="002033A5" w:rsidRPr="00E619C8" w:rsidRDefault="00E113EC">
      <w:pPr>
        <w:pStyle w:val="Heading1"/>
        <w:pBdr>
          <w:top w:val="nil"/>
          <w:left w:val="nil"/>
          <w:bottom w:val="nil"/>
          <w:right w:val="nil"/>
          <w:between w:val="nil"/>
        </w:pBdr>
        <w:spacing w:before="120" w:after="240" w:line="276" w:lineRule="auto"/>
        <w:rPr>
          <w:rFonts w:ascii="Arial" w:eastAsia="Arial" w:hAnsi="Arial" w:cs="Arial"/>
          <w:sz w:val="22"/>
          <w:szCs w:val="22"/>
        </w:rPr>
      </w:pPr>
      <w:bookmarkStart w:id="39" w:name="_Toc227235265"/>
      <w:r w:rsidRPr="00E619C8">
        <w:rPr>
          <w:rFonts w:ascii="Arial" w:eastAsia="Arial" w:hAnsi="Arial" w:cs="Arial"/>
          <w:b/>
          <w:bCs/>
          <w:color w:val="C00000"/>
          <w:sz w:val="48"/>
          <w:szCs w:val="48"/>
        </w:rPr>
        <w:t xml:space="preserve">Annex 2 </w:t>
      </w:r>
      <w:r w:rsidRPr="00E619C8">
        <w:rPr>
          <w:rFonts w:ascii="Arial" w:eastAsia="Arial" w:hAnsi="Arial" w:cs="Arial"/>
          <w:b/>
          <w:bCs/>
          <w:color w:val="C00000"/>
        </w:rPr>
        <w:t>| Procuring entities survey</w:t>
      </w:r>
      <w:bookmarkEnd w:id="39"/>
    </w:p>
    <w:p w14:paraId="64E6AB1C" w14:textId="31364D2C" w:rsidR="002033A5" w:rsidRPr="00E619C8" w:rsidRDefault="00E113EC">
      <w:pPr>
        <w:pStyle w:val="Subtitle"/>
        <w:spacing w:before="0" w:after="320" w:line="276" w:lineRule="auto"/>
        <w:jc w:val="center"/>
        <w:rPr>
          <w:rFonts w:ascii="Arial" w:eastAsia="Arial" w:hAnsi="Arial" w:cs="Arial"/>
          <w:i w:val="0"/>
          <w:iCs w:val="0"/>
          <w:color w:val="990000"/>
          <w:sz w:val="34"/>
          <w:szCs w:val="34"/>
        </w:rPr>
      </w:pPr>
      <w:bookmarkStart w:id="40" w:name="_heading=h.y5opxeo7nnyz" w:colFirst="0" w:colLast="0"/>
      <w:bookmarkStart w:id="41" w:name="_heading=h.8c5pse7ii8vz" w:colFirst="0" w:colLast="0"/>
      <w:bookmarkEnd w:id="40"/>
      <w:bookmarkEnd w:id="41"/>
      <w:r w:rsidRPr="00E619C8">
        <w:rPr>
          <w:rFonts w:ascii="Arial" w:eastAsia="Arial" w:hAnsi="Arial" w:cs="Arial"/>
          <w:i w:val="0"/>
          <w:iCs w:val="0"/>
          <w:color w:val="990000"/>
          <w:sz w:val="34"/>
          <w:szCs w:val="34"/>
        </w:rPr>
        <w:t>Infrastructure Transparency Index</w:t>
      </w:r>
      <w:r w:rsidR="00E3757E" w:rsidRPr="00E619C8">
        <w:rPr>
          <w:rFonts w:ascii="Arial" w:eastAsia="Arial" w:hAnsi="Arial" w:cs="Arial"/>
          <w:i w:val="0"/>
          <w:iCs w:val="0"/>
          <w:color w:val="990000"/>
          <w:sz w:val="34"/>
          <w:szCs w:val="34"/>
        </w:rPr>
        <w:t xml:space="preserve"> Survey</w:t>
      </w:r>
      <w:r w:rsidRPr="00E619C8">
        <w:rPr>
          <w:rFonts w:ascii="Arial" w:eastAsia="Arial" w:hAnsi="Arial" w:cs="Arial"/>
          <w:i w:val="0"/>
          <w:iCs w:val="0"/>
          <w:color w:val="990000"/>
          <w:sz w:val="34"/>
          <w:szCs w:val="34"/>
        </w:rPr>
        <w:t xml:space="preserve"> </w:t>
      </w:r>
    </w:p>
    <w:p w14:paraId="003F49BC" w14:textId="77777777" w:rsidR="002033A5" w:rsidRPr="00E619C8" w:rsidRDefault="00E113EC" w:rsidP="00DB063F">
      <w:pPr>
        <w:spacing w:after="200" w:line="276" w:lineRule="auto"/>
        <w:jc w:val="both"/>
        <w:rPr>
          <w:rFonts w:ascii="Arial" w:eastAsia="Arial" w:hAnsi="Arial" w:cs="Arial"/>
          <w:b/>
          <w:bCs/>
          <w:sz w:val="22"/>
          <w:szCs w:val="22"/>
        </w:rPr>
      </w:pPr>
      <w:bookmarkStart w:id="42" w:name="_heading=h.hjpinl1w4l21" w:colFirst="0" w:colLast="0"/>
      <w:bookmarkEnd w:id="42"/>
      <w:r w:rsidRPr="00E619C8">
        <w:rPr>
          <w:rFonts w:ascii="Arial" w:eastAsia="Arial" w:hAnsi="Arial" w:cs="Arial"/>
          <w:b/>
          <w:bCs/>
          <w:sz w:val="22"/>
          <w:szCs w:val="22"/>
        </w:rPr>
        <w:t>Statement of veracity of information</w:t>
      </w:r>
    </w:p>
    <w:p w14:paraId="16FC6EBE" w14:textId="77777777" w:rsidR="002033A5" w:rsidRPr="00E619C8" w:rsidRDefault="00E113EC">
      <w:pPr>
        <w:spacing w:after="200" w:line="276" w:lineRule="auto"/>
        <w:jc w:val="both"/>
        <w:rPr>
          <w:rFonts w:ascii="Arial" w:eastAsia="Arial" w:hAnsi="Arial" w:cs="Arial"/>
          <w:sz w:val="22"/>
          <w:szCs w:val="22"/>
        </w:rPr>
      </w:pPr>
      <w:r w:rsidRPr="00E619C8">
        <w:rPr>
          <w:rFonts w:ascii="Arial" w:eastAsia="Arial" w:hAnsi="Arial" w:cs="Arial"/>
          <w:sz w:val="22"/>
          <w:szCs w:val="22"/>
        </w:rPr>
        <w:t>The honest and accurate completion of this questionnaire will make an essential contribution to evaluating the CoST Infrastructure Transparency Index (ITI). The ITI is designed to assess the knowledge, procedures, digital capabilities, spaces for citizen participation and uses that are given to public information. The results of the ITI evaluation serve to clarify where and how transparency in public infrastructure can be improved, with the ultimate goal of collaboratively increasing the social and economic value of public resources.</w:t>
      </w:r>
    </w:p>
    <w:p w14:paraId="6D312066" w14:textId="77777777" w:rsidR="002033A5" w:rsidRPr="00E619C8" w:rsidRDefault="00E113EC">
      <w:pPr>
        <w:spacing w:after="200" w:line="276" w:lineRule="auto"/>
        <w:jc w:val="both"/>
        <w:rPr>
          <w:rFonts w:ascii="Arial" w:eastAsia="Arial" w:hAnsi="Arial" w:cs="Arial"/>
          <w:sz w:val="22"/>
          <w:szCs w:val="22"/>
        </w:rPr>
      </w:pPr>
      <w:r w:rsidRPr="00E619C8">
        <w:rPr>
          <w:rFonts w:ascii="Arial" w:eastAsia="Arial" w:hAnsi="Arial" w:cs="Arial"/>
          <w:sz w:val="22"/>
          <w:szCs w:val="22"/>
        </w:rPr>
        <w:t>The answers to the questions of this survey must be provided in a truthful, objective and concise manner that provides information that is up to date, clear and internally consistent. While some questions require reference to be made to supporting evidence (such as sections of documents, websites, notice boards and newspapers), all require a short description to elaborate on the response and validate it for subsequent analysis.</w:t>
      </w:r>
    </w:p>
    <w:p w14:paraId="10B4EC2A" w14:textId="77777777" w:rsidR="002033A5" w:rsidRPr="00E619C8" w:rsidRDefault="00E113EC">
      <w:pPr>
        <w:spacing w:after="200" w:line="276" w:lineRule="auto"/>
        <w:jc w:val="both"/>
        <w:rPr>
          <w:rFonts w:ascii="Arial" w:eastAsia="Arial" w:hAnsi="Arial" w:cs="Arial"/>
          <w:sz w:val="22"/>
          <w:szCs w:val="22"/>
        </w:rPr>
      </w:pPr>
      <w:r w:rsidRPr="00E619C8">
        <w:rPr>
          <w:rFonts w:ascii="Arial" w:eastAsia="Arial" w:hAnsi="Arial" w:cs="Arial"/>
          <w:sz w:val="22"/>
          <w:szCs w:val="22"/>
        </w:rPr>
        <w:t xml:space="preserve">The scope of the information referred to in this questionnaire is limited to what is required to be made public according to applicable national laws and regulations. </w:t>
      </w:r>
    </w:p>
    <w:p w14:paraId="07D4BD96" w14:textId="200DE820" w:rsidR="002033A5" w:rsidRPr="00E619C8" w:rsidRDefault="00E113EC">
      <w:pPr>
        <w:spacing w:after="200" w:line="276" w:lineRule="auto"/>
        <w:jc w:val="both"/>
        <w:rPr>
          <w:rFonts w:ascii="Arial" w:eastAsia="Arial" w:hAnsi="Arial" w:cs="Arial"/>
          <w:sz w:val="22"/>
          <w:szCs w:val="22"/>
        </w:rPr>
      </w:pPr>
      <w:r w:rsidRPr="00E619C8">
        <w:rPr>
          <w:rFonts w:ascii="Arial" w:eastAsia="Arial" w:hAnsi="Arial" w:cs="Arial"/>
          <w:sz w:val="22"/>
          <w:szCs w:val="22"/>
        </w:rPr>
        <w:t xml:space="preserve">Can you please confirm that the information you are going to share in this survey accurately </w:t>
      </w:r>
      <w:r w:rsidR="00050B1C">
        <w:rPr>
          <w:rFonts w:ascii="Arial" w:eastAsia="Arial" w:hAnsi="Arial" w:cs="Arial"/>
          <w:sz w:val="22"/>
          <w:szCs w:val="22"/>
        </w:rPr>
        <w:t>characterises</w:t>
      </w:r>
      <w:r w:rsidRPr="00E619C8">
        <w:rPr>
          <w:rFonts w:ascii="Arial" w:eastAsia="Arial" w:hAnsi="Arial" w:cs="Arial"/>
          <w:sz w:val="22"/>
          <w:szCs w:val="22"/>
        </w:rPr>
        <w:t xml:space="preserve"> the entity and your knowledge?  🔲 </w:t>
      </w:r>
    </w:p>
    <w:p w14:paraId="0779CB0F" w14:textId="77777777" w:rsidR="002033A5" w:rsidRPr="00E619C8" w:rsidRDefault="002033A5">
      <w:pPr>
        <w:spacing w:after="200" w:line="276" w:lineRule="auto"/>
        <w:jc w:val="both"/>
        <w:rPr>
          <w:rFonts w:ascii="Arial" w:eastAsia="Arial" w:hAnsi="Arial" w:cs="Arial"/>
          <w:sz w:val="22"/>
          <w:szCs w:val="22"/>
        </w:rPr>
      </w:pPr>
    </w:p>
    <w:p w14:paraId="666FAE54" w14:textId="77777777" w:rsidR="002033A5" w:rsidRPr="00E619C8" w:rsidRDefault="00E113EC">
      <w:pPr>
        <w:spacing w:after="200" w:line="276" w:lineRule="auto"/>
        <w:jc w:val="both"/>
        <w:rPr>
          <w:rFonts w:ascii="Arial" w:eastAsia="Arial" w:hAnsi="Arial" w:cs="Arial"/>
          <w:sz w:val="22"/>
          <w:szCs w:val="22"/>
        </w:rPr>
      </w:pPr>
      <w:r w:rsidRPr="00E619C8">
        <w:rPr>
          <w:rFonts w:ascii="Arial" w:eastAsia="Arial" w:hAnsi="Arial" w:cs="Arial"/>
          <w:sz w:val="22"/>
          <w:szCs w:val="22"/>
        </w:rPr>
        <w:t>Please complete the following information:</w:t>
      </w:r>
    </w:p>
    <w:p w14:paraId="657FA8FA" w14:textId="77777777" w:rsidR="002033A5" w:rsidRPr="00E619C8" w:rsidRDefault="00E113EC">
      <w:pPr>
        <w:spacing w:after="200" w:line="276" w:lineRule="auto"/>
        <w:jc w:val="both"/>
        <w:rPr>
          <w:rFonts w:ascii="Arial" w:eastAsia="Arial" w:hAnsi="Arial" w:cs="Arial"/>
          <w:sz w:val="22"/>
          <w:szCs w:val="22"/>
        </w:rPr>
      </w:pPr>
      <w:r w:rsidRPr="00E619C8">
        <w:rPr>
          <w:rFonts w:ascii="Arial" w:eastAsia="Arial" w:hAnsi="Arial" w:cs="Arial"/>
          <w:sz w:val="22"/>
          <w:szCs w:val="22"/>
        </w:rPr>
        <w:t>Procuring entity name</w:t>
      </w:r>
      <w:r w:rsidRPr="00E619C8">
        <w:rPr>
          <w:rFonts w:ascii="Arial" w:eastAsia="Arial" w:hAnsi="Arial" w:cs="Arial"/>
          <w:sz w:val="22"/>
          <w:szCs w:val="22"/>
        </w:rPr>
        <w:tab/>
      </w:r>
      <w:r w:rsidRPr="00E619C8">
        <w:rPr>
          <w:rFonts w:ascii="Arial" w:eastAsia="Arial" w:hAnsi="Arial" w:cs="Arial"/>
          <w:sz w:val="22"/>
          <w:szCs w:val="22"/>
        </w:rPr>
        <w:tab/>
      </w:r>
      <w:r w:rsidRPr="00E619C8">
        <w:rPr>
          <w:rFonts w:ascii="Arial" w:eastAsia="Arial" w:hAnsi="Arial" w:cs="Arial"/>
          <w:sz w:val="22"/>
          <w:szCs w:val="22"/>
        </w:rPr>
        <w:tab/>
        <w:t>________________________________________</w:t>
      </w:r>
    </w:p>
    <w:p w14:paraId="6D825E34" w14:textId="77777777" w:rsidR="002033A5" w:rsidRPr="00E619C8" w:rsidRDefault="00E113EC">
      <w:pPr>
        <w:spacing w:after="200" w:line="276" w:lineRule="auto"/>
        <w:jc w:val="both"/>
        <w:rPr>
          <w:rFonts w:ascii="Arial" w:eastAsia="Arial" w:hAnsi="Arial" w:cs="Arial"/>
          <w:sz w:val="22"/>
          <w:szCs w:val="22"/>
        </w:rPr>
      </w:pPr>
      <w:r w:rsidRPr="00E619C8">
        <w:rPr>
          <w:rFonts w:ascii="Arial" w:eastAsia="Arial" w:hAnsi="Arial" w:cs="Arial"/>
          <w:sz w:val="22"/>
          <w:szCs w:val="22"/>
        </w:rPr>
        <w:t xml:space="preserve">Name of the surveyed person </w:t>
      </w:r>
      <w:r w:rsidRPr="00E619C8">
        <w:rPr>
          <w:rFonts w:ascii="Arial" w:eastAsia="Arial" w:hAnsi="Arial" w:cs="Arial"/>
          <w:sz w:val="22"/>
          <w:szCs w:val="22"/>
        </w:rPr>
        <w:tab/>
        <w:t>________________________________________</w:t>
      </w:r>
    </w:p>
    <w:p w14:paraId="3D64D37F" w14:textId="77777777" w:rsidR="002033A5" w:rsidRPr="00E619C8" w:rsidRDefault="00E113EC">
      <w:pPr>
        <w:spacing w:after="200" w:line="276" w:lineRule="auto"/>
        <w:jc w:val="both"/>
        <w:rPr>
          <w:rFonts w:ascii="Arial" w:eastAsia="Arial" w:hAnsi="Arial" w:cs="Arial"/>
          <w:sz w:val="22"/>
          <w:szCs w:val="22"/>
        </w:rPr>
      </w:pPr>
      <w:r w:rsidRPr="00E619C8">
        <w:rPr>
          <w:rFonts w:ascii="Arial" w:eastAsia="Arial" w:hAnsi="Arial" w:cs="Arial"/>
          <w:sz w:val="22"/>
          <w:szCs w:val="22"/>
        </w:rPr>
        <w:t>Position of the surveyed person</w:t>
      </w:r>
      <w:r w:rsidRPr="00E619C8">
        <w:rPr>
          <w:rFonts w:ascii="Arial" w:eastAsia="Arial" w:hAnsi="Arial" w:cs="Arial"/>
          <w:sz w:val="22"/>
          <w:szCs w:val="22"/>
        </w:rPr>
        <w:tab/>
        <w:t>________________________________________</w:t>
      </w:r>
    </w:p>
    <w:p w14:paraId="60128A79" w14:textId="77777777" w:rsidR="002033A5" w:rsidRPr="00E619C8" w:rsidRDefault="00E113EC">
      <w:pPr>
        <w:spacing w:after="200" w:line="276" w:lineRule="auto"/>
        <w:jc w:val="both"/>
        <w:rPr>
          <w:rFonts w:ascii="Arial" w:eastAsia="Arial" w:hAnsi="Arial" w:cs="Arial"/>
          <w:sz w:val="22"/>
          <w:szCs w:val="22"/>
        </w:rPr>
      </w:pPr>
      <w:r w:rsidRPr="00E619C8">
        <w:rPr>
          <w:rFonts w:ascii="Arial" w:eastAsia="Arial" w:hAnsi="Arial" w:cs="Arial"/>
          <w:sz w:val="22"/>
          <w:szCs w:val="22"/>
        </w:rPr>
        <w:t>Telephone of the surveyed person</w:t>
      </w:r>
      <w:r w:rsidRPr="00E619C8">
        <w:rPr>
          <w:rFonts w:ascii="Arial" w:eastAsia="Arial" w:hAnsi="Arial" w:cs="Arial"/>
          <w:sz w:val="22"/>
          <w:szCs w:val="22"/>
        </w:rPr>
        <w:tab/>
        <w:t>________________________________________</w:t>
      </w:r>
    </w:p>
    <w:p w14:paraId="42572DE8" w14:textId="77777777" w:rsidR="002033A5" w:rsidRPr="00E619C8" w:rsidRDefault="00E113EC">
      <w:pPr>
        <w:spacing w:after="200" w:line="276" w:lineRule="auto"/>
        <w:jc w:val="both"/>
        <w:rPr>
          <w:rFonts w:ascii="Arial" w:eastAsia="Arial" w:hAnsi="Arial" w:cs="Arial"/>
          <w:sz w:val="22"/>
          <w:szCs w:val="22"/>
        </w:rPr>
      </w:pPr>
      <w:r w:rsidRPr="00E619C8">
        <w:rPr>
          <w:rFonts w:ascii="Arial" w:eastAsia="Arial" w:hAnsi="Arial" w:cs="Arial"/>
          <w:sz w:val="22"/>
          <w:szCs w:val="22"/>
        </w:rPr>
        <w:t xml:space="preserve">Email of the surveyed person </w:t>
      </w:r>
      <w:r w:rsidRPr="00E619C8">
        <w:rPr>
          <w:rFonts w:ascii="Arial" w:eastAsia="Arial" w:hAnsi="Arial" w:cs="Arial"/>
          <w:sz w:val="22"/>
          <w:szCs w:val="22"/>
        </w:rPr>
        <w:tab/>
        <w:t>________________________________________</w:t>
      </w:r>
    </w:p>
    <w:p w14:paraId="2588F0FA" w14:textId="77777777" w:rsidR="002033A5" w:rsidRPr="00E619C8" w:rsidRDefault="00E113EC">
      <w:pPr>
        <w:spacing w:after="200" w:line="276" w:lineRule="auto"/>
        <w:jc w:val="both"/>
        <w:rPr>
          <w:rFonts w:ascii="Arial" w:eastAsia="Arial" w:hAnsi="Arial" w:cs="Arial"/>
          <w:sz w:val="22"/>
          <w:szCs w:val="22"/>
        </w:rPr>
      </w:pPr>
      <w:r w:rsidRPr="00E619C8">
        <w:rPr>
          <w:rFonts w:ascii="Arial" w:eastAsia="Arial" w:hAnsi="Arial" w:cs="Arial"/>
          <w:sz w:val="22"/>
          <w:szCs w:val="22"/>
        </w:rPr>
        <w:t>Name of the evaluator</w:t>
      </w:r>
      <w:r w:rsidRPr="00E619C8">
        <w:rPr>
          <w:rFonts w:ascii="Arial" w:eastAsia="Arial" w:hAnsi="Arial" w:cs="Arial"/>
          <w:sz w:val="22"/>
          <w:szCs w:val="22"/>
        </w:rPr>
        <w:tab/>
      </w:r>
      <w:r w:rsidRPr="00E619C8">
        <w:rPr>
          <w:rFonts w:ascii="Arial" w:eastAsia="Arial" w:hAnsi="Arial" w:cs="Arial"/>
          <w:sz w:val="22"/>
          <w:szCs w:val="22"/>
        </w:rPr>
        <w:tab/>
        <w:t>________________________________________</w:t>
      </w:r>
    </w:p>
    <w:p w14:paraId="11917C8B" w14:textId="77777777" w:rsidR="002033A5" w:rsidRPr="00E619C8" w:rsidRDefault="00E113EC">
      <w:pPr>
        <w:spacing w:after="200" w:line="276" w:lineRule="auto"/>
        <w:jc w:val="both"/>
        <w:rPr>
          <w:rFonts w:ascii="Arial" w:eastAsia="Arial" w:hAnsi="Arial" w:cs="Arial"/>
          <w:sz w:val="22"/>
          <w:szCs w:val="22"/>
        </w:rPr>
      </w:pPr>
      <w:r w:rsidRPr="00E619C8">
        <w:rPr>
          <w:rFonts w:ascii="Arial" w:eastAsia="Arial" w:hAnsi="Arial" w:cs="Arial"/>
          <w:sz w:val="22"/>
          <w:szCs w:val="22"/>
        </w:rPr>
        <w:t>Place and date</w:t>
      </w:r>
      <w:r w:rsidRPr="00E619C8">
        <w:rPr>
          <w:rFonts w:ascii="Arial" w:eastAsia="Arial" w:hAnsi="Arial" w:cs="Arial"/>
          <w:sz w:val="22"/>
          <w:szCs w:val="22"/>
        </w:rPr>
        <w:tab/>
      </w:r>
      <w:r w:rsidRPr="00E619C8">
        <w:rPr>
          <w:rFonts w:ascii="Arial" w:eastAsia="Arial" w:hAnsi="Arial" w:cs="Arial"/>
          <w:sz w:val="22"/>
          <w:szCs w:val="22"/>
        </w:rPr>
        <w:tab/>
      </w:r>
      <w:r w:rsidRPr="00E619C8">
        <w:rPr>
          <w:rFonts w:ascii="Arial" w:eastAsia="Arial" w:hAnsi="Arial" w:cs="Arial"/>
          <w:sz w:val="22"/>
          <w:szCs w:val="22"/>
        </w:rPr>
        <w:tab/>
        <w:t>________________________________________</w:t>
      </w:r>
    </w:p>
    <w:p w14:paraId="280E7F6E" w14:textId="77777777" w:rsidR="00DB063F" w:rsidRPr="00E619C8" w:rsidRDefault="00DB063F" w:rsidP="00DB063F">
      <w:pPr>
        <w:spacing w:before="240" w:after="240" w:line="276" w:lineRule="auto"/>
        <w:rPr>
          <w:rFonts w:ascii="Arial" w:eastAsia="Arial" w:hAnsi="Arial" w:cs="Arial"/>
          <w:b/>
          <w:bCs/>
        </w:rPr>
      </w:pPr>
      <w:bookmarkStart w:id="43" w:name="_heading=h.g3n77a5hyjhe" w:colFirst="0" w:colLast="0"/>
      <w:bookmarkEnd w:id="43"/>
    </w:p>
    <w:p w14:paraId="35151EFC" w14:textId="77777777" w:rsidR="00DB063F" w:rsidRPr="00E619C8" w:rsidRDefault="00DB063F" w:rsidP="00DB063F">
      <w:pPr>
        <w:spacing w:before="240" w:after="240" w:line="276" w:lineRule="auto"/>
        <w:rPr>
          <w:rFonts w:ascii="Arial" w:eastAsia="Arial" w:hAnsi="Arial" w:cs="Arial"/>
          <w:b/>
          <w:bCs/>
        </w:rPr>
      </w:pPr>
    </w:p>
    <w:p w14:paraId="15638C2F" w14:textId="4F3B6817" w:rsidR="002033A5" w:rsidRPr="00E619C8" w:rsidRDefault="00E113EC" w:rsidP="00DB063F">
      <w:pPr>
        <w:spacing w:before="240" w:after="240" w:line="276" w:lineRule="auto"/>
        <w:rPr>
          <w:rFonts w:ascii="Arial" w:eastAsia="Arial" w:hAnsi="Arial" w:cs="Arial"/>
          <w:b/>
          <w:bCs/>
          <w:color w:val="C00000"/>
        </w:rPr>
      </w:pPr>
      <w:r w:rsidRPr="00E619C8">
        <w:rPr>
          <w:rFonts w:ascii="Arial" w:eastAsia="Arial" w:hAnsi="Arial" w:cs="Arial"/>
          <w:b/>
          <w:bCs/>
          <w:color w:val="C00000"/>
        </w:rPr>
        <w:t>Variable 2.1: Institutional capacities</w:t>
      </w:r>
    </w:p>
    <w:p w14:paraId="27059695" w14:textId="77777777" w:rsidR="002033A5" w:rsidRPr="00E619C8" w:rsidRDefault="00E113EC" w:rsidP="00DB063F">
      <w:pPr>
        <w:spacing w:before="240" w:after="240" w:line="276" w:lineRule="auto"/>
        <w:rPr>
          <w:rFonts w:ascii="Arial" w:eastAsia="Arial" w:hAnsi="Arial" w:cs="Arial"/>
          <w:b/>
          <w:bCs/>
        </w:rPr>
      </w:pPr>
      <w:bookmarkStart w:id="44" w:name="_heading=h.udqv5g44pyla" w:colFirst="0" w:colLast="0"/>
      <w:bookmarkEnd w:id="44"/>
      <w:r w:rsidRPr="00E619C8">
        <w:rPr>
          <w:rFonts w:ascii="Arial" w:eastAsia="Arial" w:hAnsi="Arial" w:cs="Arial"/>
          <w:b/>
          <w:bCs/>
        </w:rPr>
        <w:t>Sub-variable 2.1.1: Basic knowledge</w:t>
      </w:r>
    </w:p>
    <w:p w14:paraId="1C6E8BC0"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The 5 questions of this sub-variable must be answered with the knowledge that you possess and in your own words. Please do not search or copy texts from other sources to really and honestly understand what the current situation is. </w:t>
      </w:r>
    </w:p>
    <w:p w14:paraId="57F41260" w14:textId="77777777" w:rsidR="002033A5" w:rsidRPr="00E619C8" w:rsidRDefault="002033A5">
      <w:pPr>
        <w:spacing w:line="276" w:lineRule="auto"/>
        <w:rPr>
          <w:rFonts w:ascii="Arial" w:eastAsia="Arial" w:hAnsi="Arial" w:cs="Arial"/>
          <w:sz w:val="22"/>
          <w:szCs w:val="22"/>
        </w:rPr>
      </w:pPr>
    </w:p>
    <w:p w14:paraId="4971CD9B" w14:textId="77777777"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1. Do you know the national regulatory framework for access to public information?</w:t>
      </w:r>
    </w:p>
    <w:p w14:paraId="2DE9A041"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Yes</w:t>
      </w:r>
    </w:p>
    <w:p w14:paraId="76B5BB7F"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No</w:t>
      </w:r>
    </w:p>
    <w:p w14:paraId="34E6E7D4" w14:textId="77777777" w:rsidR="002033A5" w:rsidRPr="00E619C8" w:rsidRDefault="002033A5">
      <w:pPr>
        <w:spacing w:line="276" w:lineRule="auto"/>
        <w:rPr>
          <w:rFonts w:ascii="Arial" w:eastAsia="Arial" w:hAnsi="Arial" w:cs="Arial"/>
          <w:sz w:val="22"/>
          <w:szCs w:val="22"/>
        </w:rPr>
      </w:pPr>
    </w:p>
    <w:p w14:paraId="1958910D" w14:textId="75396FC9"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1.1. If you answered yes, can you briefly describe the following points accordingly: i) proactive publication, ii) requests for public information, iii) response times, iv) roles and responsibilities of key stakeholders, v) sanctions for non-compliance, and vi) </w:t>
      </w:r>
      <w:r w:rsidR="00050B1C">
        <w:rPr>
          <w:rFonts w:ascii="Arial" w:eastAsia="Arial" w:hAnsi="Arial" w:cs="Arial"/>
          <w:sz w:val="22"/>
          <w:szCs w:val="22"/>
        </w:rPr>
        <w:t>organisation</w:t>
      </w:r>
      <w:r w:rsidRPr="00E619C8">
        <w:rPr>
          <w:rFonts w:ascii="Arial" w:eastAsia="Arial" w:hAnsi="Arial" w:cs="Arial"/>
          <w:sz w:val="22"/>
          <w:szCs w:val="22"/>
        </w:rPr>
        <w:t xml:space="preserve"> that ensures compliance?</w:t>
      </w:r>
    </w:p>
    <w:p w14:paraId="75C15BD0"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15EC2E54" w14:textId="77777777" w:rsidR="002033A5" w:rsidRPr="00E619C8" w:rsidRDefault="002033A5">
      <w:pPr>
        <w:spacing w:line="276" w:lineRule="auto"/>
        <w:rPr>
          <w:rFonts w:ascii="Arial" w:eastAsia="Arial" w:hAnsi="Arial" w:cs="Arial"/>
          <w:sz w:val="22"/>
          <w:szCs w:val="22"/>
        </w:rPr>
      </w:pPr>
    </w:p>
    <w:p w14:paraId="20BA186C" w14:textId="77777777"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2. Do you know the existence of the initiative for transparency in the infrastructure sector, also called CoST?</w:t>
      </w:r>
    </w:p>
    <w:p w14:paraId="1E479ACA"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Yes</w:t>
      </w:r>
    </w:p>
    <w:p w14:paraId="3C09E9A9"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No</w:t>
      </w:r>
    </w:p>
    <w:p w14:paraId="6355CDA9" w14:textId="77777777" w:rsidR="002033A5" w:rsidRPr="00E619C8" w:rsidRDefault="002033A5">
      <w:pPr>
        <w:spacing w:line="276" w:lineRule="auto"/>
        <w:rPr>
          <w:rFonts w:ascii="Arial" w:eastAsia="Arial" w:hAnsi="Arial" w:cs="Arial"/>
          <w:sz w:val="22"/>
          <w:szCs w:val="22"/>
        </w:rPr>
      </w:pPr>
    </w:p>
    <w:p w14:paraId="6DBFC15B"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2.1. If you answered yes, can you briefly describe the following points: i) what is CoST, ii) the multi-stakeholder group, iii) disclosure, iv) assurance, and v) social audit?</w:t>
      </w:r>
    </w:p>
    <w:p w14:paraId="7069AEA6"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215E1A68" w14:textId="77777777" w:rsidR="002033A5" w:rsidRPr="00E619C8" w:rsidRDefault="002033A5">
      <w:pPr>
        <w:spacing w:line="276" w:lineRule="auto"/>
        <w:rPr>
          <w:rFonts w:ascii="Arial" w:eastAsia="Arial" w:hAnsi="Arial" w:cs="Arial"/>
          <w:sz w:val="22"/>
          <w:szCs w:val="22"/>
        </w:rPr>
      </w:pPr>
    </w:p>
    <w:p w14:paraId="3227C440" w14:textId="77777777"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 xml:space="preserve">3. Do you know the CoST Infrastructure Data Standard, also known as IDS or OC4IDS (according to its English name)?  </w:t>
      </w:r>
    </w:p>
    <w:p w14:paraId="3AA09521"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Yes</w:t>
      </w:r>
    </w:p>
    <w:p w14:paraId="3D85F093"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No</w:t>
      </w:r>
    </w:p>
    <w:p w14:paraId="566B0C38" w14:textId="77777777" w:rsidR="002033A5" w:rsidRPr="00E619C8" w:rsidRDefault="002033A5">
      <w:pPr>
        <w:spacing w:line="276" w:lineRule="auto"/>
        <w:rPr>
          <w:rFonts w:ascii="Arial" w:eastAsia="Arial" w:hAnsi="Arial" w:cs="Arial"/>
          <w:sz w:val="22"/>
          <w:szCs w:val="22"/>
        </w:rPr>
      </w:pPr>
    </w:p>
    <w:p w14:paraId="63C0B1DC" w14:textId="3765EC90"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3.1. If you answered yes, can you briefly describe: i) what it is, ii) which regulatory framework contains it, </w:t>
      </w:r>
      <w:r w:rsidR="00166E68">
        <w:rPr>
          <w:rFonts w:ascii="Arial" w:eastAsia="Arial" w:hAnsi="Arial" w:cs="Arial"/>
          <w:sz w:val="22"/>
          <w:szCs w:val="22"/>
        </w:rPr>
        <w:t>iii</w:t>
      </w:r>
      <w:r w:rsidRPr="00E619C8">
        <w:rPr>
          <w:rFonts w:ascii="Arial" w:eastAsia="Arial" w:hAnsi="Arial" w:cs="Arial"/>
          <w:sz w:val="22"/>
          <w:szCs w:val="22"/>
        </w:rPr>
        <w:t xml:space="preserve">) what type of data is required by the standard, iv) what is the level of adoption of your entity? </w:t>
      </w:r>
    </w:p>
    <w:p w14:paraId="727425E0"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6CDE0439" w14:textId="77777777" w:rsidR="002033A5" w:rsidRPr="00E619C8" w:rsidRDefault="002033A5">
      <w:pPr>
        <w:spacing w:line="276" w:lineRule="auto"/>
        <w:rPr>
          <w:rFonts w:ascii="Arial" w:eastAsia="Arial" w:hAnsi="Arial" w:cs="Arial"/>
          <w:sz w:val="22"/>
          <w:szCs w:val="22"/>
        </w:rPr>
      </w:pPr>
    </w:p>
    <w:p w14:paraId="1C54F6AB" w14:textId="77777777"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4. Do you know the sanctions applied for non-compliance with the information disclosure obligations included in the access to public information and government contracts regulatory frameworks?</w:t>
      </w:r>
    </w:p>
    <w:p w14:paraId="0287D09F"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Yes</w:t>
      </w:r>
    </w:p>
    <w:p w14:paraId="2F5B16B7"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No</w:t>
      </w:r>
    </w:p>
    <w:p w14:paraId="548331BD" w14:textId="77777777" w:rsidR="002033A5" w:rsidRPr="00E619C8" w:rsidRDefault="002033A5">
      <w:pPr>
        <w:spacing w:line="276" w:lineRule="auto"/>
        <w:rPr>
          <w:rFonts w:ascii="Arial" w:eastAsia="Arial" w:hAnsi="Arial" w:cs="Arial"/>
          <w:sz w:val="22"/>
          <w:szCs w:val="22"/>
        </w:rPr>
      </w:pPr>
    </w:p>
    <w:p w14:paraId="48180689"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4.1 If you answered yes, can you briefly describe: i) the processes for its application, ii) the roles and responsibilities of the actors involved, iii) the penalties that apply?</w:t>
      </w:r>
    </w:p>
    <w:p w14:paraId="5CBF9EAB"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3E36EB5A" w14:textId="77777777" w:rsidR="002033A5" w:rsidRPr="00E619C8" w:rsidRDefault="002033A5">
      <w:pPr>
        <w:spacing w:line="276" w:lineRule="auto"/>
        <w:rPr>
          <w:rFonts w:ascii="Arial" w:eastAsia="Arial" w:hAnsi="Arial" w:cs="Arial"/>
          <w:sz w:val="22"/>
          <w:szCs w:val="22"/>
        </w:rPr>
      </w:pPr>
    </w:p>
    <w:p w14:paraId="5BEF9E61" w14:textId="77777777"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 xml:space="preserve">5. Do you know the differences between: public data, personal data, sensitive data, confidential data, and State secret data? </w:t>
      </w:r>
    </w:p>
    <w:p w14:paraId="129BE268"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Yes</w:t>
      </w:r>
    </w:p>
    <w:p w14:paraId="01496A3B"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No</w:t>
      </w:r>
    </w:p>
    <w:p w14:paraId="787D009E" w14:textId="77777777" w:rsidR="002033A5" w:rsidRPr="00E619C8" w:rsidRDefault="002033A5">
      <w:pPr>
        <w:spacing w:line="276" w:lineRule="auto"/>
        <w:rPr>
          <w:rFonts w:ascii="Arial" w:eastAsia="Arial" w:hAnsi="Arial" w:cs="Arial"/>
          <w:sz w:val="22"/>
          <w:szCs w:val="22"/>
        </w:rPr>
      </w:pPr>
    </w:p>
    <w:p w14:paraId="6E8DAD86"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5.1. If you answered yes, can you briefly describe each of them?</w:t>
      </w:r>
    </w:p>
    <w:p w14:paraId="5EC6BCEB" w14:textId="222FCB26" w:rsidR="00DB063F" w:rsidRPr="00E619C8" w:rsidRDefault="00E113EC" w:rsidP="00DB063F">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bookmarkStart w:id="45" w:name="_heading=h.3jyld7q1tga2" w:colFirst="0" w:colLast="0"/>
      <w:bookmarkEnd w:id="45"/>
    </w:p>
    <w:p w14:paraId="4584FDA6" w14:textId="77777777" w:rsidR="00DB063F" w:rsidRPr="00E619C8" w:rsidRDefault="00DB063F" w:rsidP="00DB063F">
      <w:pPr>
        <w:spacing w:line="276" w:lineRule="auto"/>
        <w:rPr>
          <w:rFonts w:ascii="Arial" w:eastAsia="Arial" w:hAnsi="Arial" w:cs="Arial"/>
          <w:sz w:val="22"/>
          <w:szCs w:val="22"/>
        </w:rPr>
      </w:pPr>
    </w:p>
    <w:p w14:paraId="5796CF0E" w14:textId="3131CE5E" w:rsidR="002033A5" w:rsidRPr="00E619C8" w:rsidRDefault="00E113EC" w:rsidP="00DB063F">
      <w:pPr>
        <w:spacing w:before="240" w:after="240" w:line="276" w:lineRule="auto"/>
        <w:rPr>
          <w:rFonts w:ascii="Arial" w:eastAsia="Arial" w:hAnsi="Arial" w:cs="Arial"/>
          <w:b/>
          <w:bCs/>
        </w:rPr>
      </w:pPr>
      <w:r w:rsidRPr="00E619C8">
        <w:rPr>
          <w:rFonts w:ascii="Arial" w:eastAsia="Arial" w:hAnsi="Arial" w:cs="Arial"/>
          <w:b/>
          <w:bCs/>
        </w:rPr>
        <w:t>Sub-variable 2.1.2: Digital capacities</w:t>
      </w:r>
    </w:p>
    <w:p w14:paraId="4F923270" w14:textId="7B4BEE98"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The 7 questions of this sub-variable are not technical, but may require support (if considered necessary) from other units, for example</w:t>
      </w:r>
      <w:r w:rsidR="00166E68">
        <w:rPr>
          <w:rFonts w:ascii="Arial" w:eastAsia="Arial" w:hAnsi="Arial" w:cs="Arial"/>
          <w:sz w:val="22"/>
          <w:szCs w:val="22"/>
        </w:rPr>
        <w:t>,</w:t>
      </w:r>
      <w:r w:rsidRPr="00E619C8">
        <w:rPr>
          <w:rFonts w:ascii="Arial" w:eastAsia="Arial" w:hAnsi="Arial" w:cs="Arial"/>
          <w:sz w:val="22"/>
          <w:szCs w:val="22"/>
        </w:rPr>
        <w:t xml:space="preserve"> the information technology department, to offer descriptions or evidence.</w:t>
      </w:r>
    </w:p>
    <w:p w14:paraId="36A5D12C" w14:textId="77777777" w:rsidR="002033A5" w:rsidRPr="00E619C8" w:rsidRDefault="002033A5">
      <w:pPr>
        <w:spacing w:line="276" w:lineRule="auto"/>
        <w:rPr>
          <w:rFonts w:ascii="Arial" w:eastAsia="Arial" w:hAnsi="Arial" w:cs="Arial"/>
          <w:sz w:val="22"/>
          <w:szCs w:val="22"/>
        </w:rPr>
      </w:pPr>
    </w:p>
    <w:p w14:paraId="125660B3" w14:textId="77777777"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1. Is there in the procuring entity, individual and functional computer equipment for all the personnel who perform some type of administrative work?</w:t>
      </w:r>
    </w:p>
    <w:p w14:paraId="16C87318"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no access to computer equipment for any officer at the procuring entity</w:t>
      </w:r>
    </w:p>
    <w:p w14:paraId="22F41ECF"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Less than half of the officials who perform administrative work have functional equipment</w:t>
      </w:r>
    </w:p>
    <w:p w14:paraId="0A4EC2CB"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Nearly half of the officers who perform administrative work have functional equipment</w:t>
      </w:r>
    </w:p>
    <w:p w14:paraId="0A93A630"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More than half of the officials who perform administrative work have functional equipment</w:t>
      </w:r>
    </w:p>
    <w:p w14:paraId="5D5B3B01"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All officers who perform administrative work have functional computer equipment</w:t>
      </w:r>
    </w:p>
    <w:p w14:paraId="0FF37EB7" w14:textId="77777777" w:rsidR="002033A5" w:rsidRPr="00E619C8" w:rsidRDefault="002033A5">
      <w:pPr>
        <w:spacing w:line="276" w:lineRule="auto"/>
        <w:rPr>
          <w:rFonts w:ascii="Arial" w:eastAsia="Arial" w:hAnsi="Arial" w:cs="Arial"/>
          <w:sz w:val="22"/>
          <w:szCs w:val="22"/>
        </w:rPr>
      </w:pPr>
    </w:p>
    <w:p w14:paraId="0B50F4CC"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3BCBE012"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175FE197" w14:textId="77777777" w:rsidR="002033A5" w:rsidRPr="00E619C8" w:rsidRDefault="002033A5">
      <w:pPr>
        <w:spacing w:line="276" w:lineRule="auto"/>
        <w:rPr>
          <w:rFonts w:ascii="Arial" w:eastAsia="Arial" w:hAnsi="Arial" w:cs="Arial"/>
          <w:sz w:val="22"/>
          <w:szCs w:val="22"/>
        </w:rPr>
      </w:pPr>
    </w:p>
    <w:p w14:paraId="545E2988" w14:textId="1EE4CCAB"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 xml:space="preserve">2. Does the entity have an Internet connection that offers optimal bandwidth for: i) the operation of its information systems; ii) the tasks carried out by all the staff, </w:t>
      </w:r>
      <w:r w:rsidR="00166E68">
        <w:rPr>
          <w:rFonts w:ascii="Arial" w:eastAsia="Arial" w:hAnsi="Arial" w:cs="Arial"/>
          <w:b/>
          <w:bCs/>
          <w:sz w:val="22"/>
          <w:szCs w:val="22"/>
        </w:rPr>
        <w:t xml:space="preserve">and iii) </w:t>
      </w:r>
      <w:r w:rsidRPr="00E619C8">
        <w:rPr>
          <w:rFonts w:ascii="Arial" w:eastAsia="Arial" w:hAnsi="Arial" w:cs="Arial"/>
          <w:b/>
          <w:bCs/>
          <w:sz w:val="22"/>
          <w:szCs w:val="22"/>
        </w:rPr>
        <w:t>has minimal or zero downtime?</w:t>
      </w:r>
    </w:p>
    <w:p w14:paraId="3B6C31C7"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There is no internet access </w:t>
      </w:r>
    </w:p>
    <w:p w14:paraId="40BE844C" w14:textId="0193811C"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internet access</w:t>
      </w:r>
      <w:r w:rsidR="00166E68">
        <w:rPr>
          <w:rFonts w:ascii="Arial" w:eastAsia="Arial" w:hAnsi="Arial" w:cs="Arial"/>
          <w:sz w:val="22"/>
          <w:szCs w:val="22"/>
        </w:rPr>
        <w:t>,</w:t>
      </w:r>
      <w:r w:rsidRPr="00E619C8">
        <w:rPr>
          <w:rFonts w:ascii="Arial" w:eastAsia="Arial" w:hAnsi="Arial" w:cs="Arial"/>
          <w:sz w:val="22"/>
          <w:szCs w:val="22"/>
        </w:rPr>
        <w:t xml:space="preserve"> but it has limitations </w:t>
      </w:r>
      <w:r w:rsidR="00166E68">
        <w:rPr>
          <w:rFonts w:ascii="Arial" w:eastAsia="Arial" w:hAnsi="Arial" w:cs="Arial"/>
          <w:sz w:val="22"/>
          <w:szCs w:val="22"/>
        </w:rPr>
        <w:t>at</w:t>
      </w:r>
      <w:r w:rsidRPr="00E619C8">
        <w:rPr>
          <w:rFonts w:ascii="Arial" w:eastAsia="Arial" w:hAnsi="Arial" w:cs="Arial"/>
          <w:sz w:val="22"/>
          <w:szCs w:val="22"/>
        </w:rPr>
        <w:t xml:space="preserve"> the three points </w:t>
      </w:r>
    </w:p>
    <w:p w14:paraId="67E62BC0" w14:textId="4EC39A53"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access</w:t>
      </w:r>
      <w:r w:rsidR="00166E68">
        <w:rPr>
          <w:rFonts w:ascii="Arial" w:eastAsia="Arial" w:hAnsi="Arial" w:cs="Arial"/>
          <w:sz w:val="22"/>
          <w:szCs w:val="22"/>
        </w:rPr>
        <w:t>,</w:t>
      </w:r>
      <w:r w:rsidRPr="00E619C8">
        <w:rPr>
          <w:rFonts w:ascii="Arial" w:eastAsia="Arial" w:hAnsi="Arial" w:cs="Arial"/>
          <w:sz w:val="22"/>
          <w:szCs w:val="22"/>
        </w:rPr>
        <w:t xml:space="preserve"> but it has limitations </w:t>
      </w:r>
      <w:r w:rsidR="00166E68">
        <w:rPr>
          <w:rFonts w:ascii="Arial" w:eastAsia="Arial" w:hAnsi="Arial" w:cs="Arial"/>
          <w:sz w:val="22"/>
          <w:szCs w:val="22"/>
        </w:rPr>
        <w:t>at</w:t>
      </w:r>
      <w:r w:rsidRPr="00E619C8">
        <w:rPr>
          <w:rFonts w:ascii="Arial" w:eastAsia="Arial" w:hAnsi="Arial" w:cs="Arial"/>
          <w:sz w:val="22"/>
          <w:szCs w:val="22"/>
        </w:rPr>
        <w:t xml:space="preserve"> two points </w:t>
      </w:r>
    </w:p>
    <w:p w14:paraId="04296448" w14:textId="25E03CEE"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access</w:t>
      </w:r>
      <w:r w:rsidR="00166E68">
        <w:rPr>
          <w:rFonts w:ascii="Arial" w:eastAsia="Arial" w:hAnsi="Arial" w:cs="Arial"/>
          <w:sz w:val="22"/>
          <w:szCs w:val="22"/>
        </w:rPr>
        <w:t>,</w:t>
      </w:r>
      <w:r w:rsidRPr="00E619C8">
        <w:rPr>
          <w:rFonts w:ascii="Arial" w:eastAsia="Arial" w:hAnsi="Arial" w:cs="Arial"/>
          <w:sz w:val="22"/>
          <w:szCs w:val="22"/>
        </w:rPr>
        <w:t xml:space="preserve"> but it has limitations </w:t>
      </w:r>
      <w:r w:rsidR="00166E68">
        <w:rPr>
          <w:rFonts w:ascii="Arial" w:eastAsia="Arial" w:hAnsi="Arial" w:cs="Arial"/>
          <w:sz w:val="22"/>
          <w:szCs w:val="22"/>
        </w:rPr>
        <w:t>at</w:t>
      </w:r>
      <w:r w:rsidRPr="00E619C8">
        <w:rPr>
          <w:rFonts w:ascii="Arial" w:eastAsia="Arial" w:hAnsi="Arial" w:cs="Arial"/>
          <w:sz w:val="22"/>
          <w:szCs w:val="22"/>
        </w:rPr>
        <w:t xml:space="preserve"> one point </w:t>
      </w:r>
    </w:p>
    <w:p w14:paraId="42F8D77A"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 bandwidth is optimal, with no limitations and no downtime</w:t>
      </w:r>
    </w:p>
    <w:p w14:paraId="5F6F3B6F" w14:textId="77777777" w:rsidR="002033A5" w:rsidRPr="00E619C8" w:rsidRDefault="002033A5">
      <w:pPr>
        <w:spacing w:line="276" w:lineRule="auto"/>
        <w:rPr>
          <w:rFonts w:ascii="Arial" w:eastAsia="Arial" w:hAnsi="Arial" w:cs="Arial"/>
          <w:sz w:val="22"/>
          <w:szCs w:val="22"/>
        </w:rPr>
      </w:pPr>
    </w:p>
    <w:p w14:paraId="4948028A"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6A965394"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241140BD" w14:textId="77777777" w:rsidR="002033A5" w:rsidRPr="00E619C8" w:rsidRDefault="002033A5">
      <w:pPr>
        <w:spacing w:line="276" w:lineRule="auto"/>
        <w:rPr>
          <w:rFonts w:ascii="Arial" w:eastAsia="Arial" w:hAnsi="Arial" w:cs="Arial"/>
          <w:sz w:val="22"/>
          <w:szCs w:val="22"/>
        </w:rPr>
      </w:pPr>
    </w:p>
    <w:p w14:paraId="44ED62AF" w14:textId="3B145846"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3. Does the entity have its own website</w:t>
      </w:r>
      <w:r w:rsidR="00166E68">
        <w:rPr>
          <w:rFonts w:ascii="Arial" w:eastAsia="Arial" w:hAnsi="Arial" w:cs="Arial"/>
          <w:b/>
          <w:bCs/>
          <w:sz w:val="22"/>
          <w:szCs w:val="22"/>
        </w:rPr>
        <w:t>,</w:t>
      </w:r>
      <w:r w:rsidRPr="00E619C8">
        <w:rPr>
          <w:rFonts w:ascii="Arial" w:eastAsia="Arial" w:hAnsi="Arial" w:cs="Arial"/>
          <w:b/>
          <w:bCs/>
          <w:sz w:val="22"/>
          <w:szCs w:val="22"/>
        </w:rPr>
        <w:t xml:space="preserve"> and </w:t>
      </w:r>
      <w:r w:rsidR="00232D2F">
        <w:rPr>
          <w:rFonts w:ascii="Arial" w:eastAsia="Arial" w:hAnsi="Arial" w:cs="Arial"/>
          <w:b/>
          <w:bCs/>
          <w:sz w:val="22"/>
          <w:szCs w:val="22"/>
        </w:rPr>
        <w:t>are at least some officers</w:t>
      </w:r>
      <w:r w:rsidRPr="00E619C8">
        <w:rPr>
          <w:rFonts w:ascii="Arial" w:eastAsia="Arial" w:hAnsi="Arial" w:cs="Arial"/>
          <w:b/>
          <w:bCs/>
          <w:sz w:val="22"/>
          <w:szCs w:val="22"/>
        </w:rPr>
        <w:t xml:space="preserve"> able to manage its content and apply changes in real time?</w:t>
      </w:r>
    </w:p>
    <w:p w14:paraId="61EFAD1D"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 entity does not have a website</w:t>
      </w:r>
    </w:p>
    <w:p w14:paraId="42D10DB2"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one, but the entity depends on third parties to apply changes</w:t>
      </w:r>
    </w:p>
    <w:p w14:paraId="69074F89" w14:textId="34294721"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one</w:t>
      </w:r>
      <w:r w:rsidR="00166E68">
        <w:rPr>
          <w:rFonts w:ascii="Arial" w:eastAsia="Arial" w:hAnsi="Arial" w:cs="Arial"/>
          <w:sz w:val="22"/>
          <w:szCs w:val="22"/>
        </w:rPr>
        <w:t>,</w:t>
      </w:r>
      <w:r w:rsidRPr="00E619C8">
        <w:rPr>
          <w:rFonts w:ascii="Arial" w:eastAsia="Arial" w:hAnsi="Arial" w:cs="Arial"/>
          <w:sz w:val="22"/>
          <w:szCs w:val="22"/>
        </w:rPr>
        <w:t xml:space="preserve"> and the entity can apply changes internally, but there are limitations</w:t>
      </w:r>
    </w:p>
    <w:p w14:paraId="58832DDC" w14:textId="7F249062"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one</w:t>
      </w:r>
      <w:r w:rsidR="00166E68">
        <w:rPr>
          <w:rFonts w:ascii="Arial" w:eastAsia="Arial" w:hAnsi="Arial" w:cs="Arial"/>
          <w:sz w:val="22"/>
          <w:szCs w:val="22"/>
        </w:rPr>
        <w:t>,</w:t>
      </w:r>
      <w:r w:rsidRPr="00E619C8">
        <w:rPr>
          <w:rFonts w:ascii="Arial" w:eastAsia="Arial" w:hAnsi="Arial" w:cs="Arial"/>
          <w:sz w:val="22"/>
          <w:szCs w:val="22"/>
        </w:rPr>
        <w:t xml:space="preserve"> and the entity has full control in real time</w:t>
      </w:r>
    </w:p>
    <w:p w14:paraId="3B832AC3" w14:textId="77777777" w:rsidR="002033A5" w:rsidRPr="00E619C8" w:rsidRDefault="002033A5">
      <w:pPr>
        <w:spacing w:line="276" w:lineRule="auto"/>
        <w:rPr>
          <w:rFonts w:ascii="Arial" w:eastAsia="Arial" w:hAnsi="Arial" w:cs="Arial"/>
          <w:sz w:val="22"/>
          <w:szCs w:val="22"/>
        </w:rPr>
      </w:pPr>
    </w:p>
    <w:p w14:paraId="320C4C83"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1CE016FB"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5BDE6968" w14:textId="77777777" w:rsidR="002033A5" w:rsidRPr="00E619C8" w:rsidRDefault="002033A5">
      <w:pPr>
        <w:spacing w:line="276" w:lineRule="auto"/>
        <w:rPr>
          <w:rFonts w:ascii="Arial" w:eastAsia="Arial" w:hAnsi="Arial" w:cs="Arial"/>
          <w:sz w:val="22"/>
          <w:szCs w:val="22"/>
        </w:rPr>
      </w:pPr>
    </w:p>
    <w:p w14:paraId="7E7EACE5" w14:textId="77777777"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4. Is there a digital information system or platform to record all information about public infrastructure projects?</w:t>
      </w:r>
    </w:p>
    <w:p w14:paraId="5CBBBF88"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Records are kept on paper</w:t>
      </w:r>
    </w:p>
    <w:p w14:paraId="29AFA54A"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Some records are digital</w:t>
      </w:r>
    </w:p>
    <w:p w14:paraId="5264DC67"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Records are predominantly on spreadsheets, like Excel or others</w:t>
      </w:r>
    </w:p>
    <w:p w14:paraId="02683111"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All records are on information systems</w:t>
      </w:r>
    </w:p>
    <w:p w14:paraId="722EFDE3" w14:textId="77777777" w:rsidR="002033A5" w:rsidRPr="00E619C8" w:rsidRDefault="002033A5">
      <w:pPr>
        <w:spacing w:line="276" w:lineRule="auto"/>
        <w:rPr>
          <w:rFonts w:ascii="Arial" w:eastAsia="Arial" w:hAnsi="Arial" w:cs="Arial"/>
          <w:sz w:val="22"/>
          <w:szCs w:val="22"/>
        </w:rPr>
      </w:pPr>
    </w:p>
    <w:p w14:paraId="0FCEEDD3"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1086618A"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0E58B338" w14:textId="77777777" w:rsidR="002033A5" w:rsidRPr="00E619C8" w:rsidRDefault="002033A5">
      <w:pPr>
        <w:spacing w:line="276" w:lineRule="auto"/>
        <w:rPr>
          <w:rFonts w:ascii="Arial" w:eastAsia="Arial" w:hAnsi="Arial" w:cs="Arial"/>
          <w:sz w:val="22"/>
          <w:szCs w:val="22"/>
        </w:rPr>
      </w:pPr>
    </w:p>
    <w:p w14:paraId="7BE014C7" w14:textId="77777777"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5. Do the government officers at the entity use the available digital information systems for activities related to public infrastructure projects?</w:t>
      </w:r>
    </w:p>
    <w:p w14:paraId="5E8A014A"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Systems are not used, or there are no systems for infrastructure projects whatsoever</w:t>
      </w:r>
    </w:p>
    <w:p w14:paraId="6F605C68"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They are only partially used</w:t>
      </w:r>
    </w:p>
    <w:p w14:paraId="5EC5EA88"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They are fully used</w:t>
      </w:r>
    </w:p>
    <w:p w14:paraId="69C33AB2" w14:textId="77777777" w:rsidR="002033A5" w:rsidRPr="00E619C8" w:rsidRDefault="002033A5">
      <w:pPr>
        <w:spacing w:line="276" w:lineRule="auto"/>
        <w:rPr>
          <w:rFonts w:ascii="Arial" w:eastAsia="Arial" w:hAnsi="Arial" w:cs="Arial"/>
          <w:sz w:val="22"/>
          <w:szCs w:val="22"/>
        </w:rPr>
      </w:pPr>
    </w:p>
    <w:p w14:paraId="01AFAFF6"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4BFE160E"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6DA0FEF0" w14:textId="77777777" w:rsidR="002033A5" w:rsidRPr="00E619C8" w:rsidRDefault="002033A5">
      <w:pPr>
        <w:spacing w:line="276" w:lineRule="auto"/>
        <w:rPr>
          <w:rFonts w:ascii="Arial" w:eastAsia="Arial" w:hAnsi="Arial" w:cs="Arial"/>
          <w:sz w:val="22"/>
          <w:szCs w:val="22"/>
        </w:rPr>
      </w:pPr>
    </w:p>
    <w:p w14:paraId="54612496" w14:textId="77777777"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6. Does the entity publish infrastructure projects information as open data?</w:t>
      </w:r>
    </w:p>
    <w:p w14:paraId="2DC581CF"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Yes</w:t>
      </w:r>
    </w:p>
    <w:p w14:paraId="0D11AA95"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No</w:t>
      </w:r>
    </w:p>
    <w:p w14:paraId="79C9DB6F" w14:textId="77777777" w:rsidR="002033A5" w:rsidRPr="00E619C8" w:rsidRDefault="002033A5">
      <w:pPr>
        <w:spacing w:line="276" w:lineRule="auto"/>
        <w:rPr>
          <w:rFonts w:ascii="Arial" w:eastAsia="Arial" w:hAnsi="Arial" w:cs="Arial"/>
          <w:sz w:val="22"/>
          <w:szCs w:val="22"/>
        </w:rPr>
      </w:pPr>
    </w:p>
    <w:p w14:paraId="4FF43233"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6.1. If you answered yes, does the information of all infrastructure projects meet the following conditions: i) structured, ii) updated, iii) processable by computer, iv) free of charge, v) with a license that allows its free use, vi) based on the IDS or OC4IDS standards, and vii) for all the entity's projects? </w:t>
      </w:r>
    </w:p>
    <w:p w14:paraId="6636B88D"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 entity does not publish infrastructure data </w:t>
      </w:r>
    </w:p>
    <w:p w14:paraId="5C52D3E2" w14:textId="680AF10A"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 entity publishes data</w:t>
      </w:r>
      <w:r w:rsidR="00166E68">
        <w:rPr>
          <w:rFonts w:ascii="Arial" w:eastAsia="Arial" w:hAnsi="Arial" w:cs="Arial"/>
          <w:sz w:val="22"/>
          <w:szCs w:val="22"/>
        </w:rPr>
        <w:t>,</w:t>
      </w:r>
      <w:r w:rsidRPr="00E619C8">
        <w:rPr>
          <w:rFonts w:ascii="Arial" w:eastAsia="Arial" w:hAnsi="Arial" w:cs="Arial"/>
          <w:sz w:val="22"/>
          <w:szCs w:val="22"/>
        </w:rPr>
        <w:t xml:space="preserve"> but only meets one condition </w:t>
      </w:r>
    </w:p>
    <w:p w14:paraId="70977D0F"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Publishes data and meets two or three conditions </w:t>
      </w:r>
    </w:p>
    <w:p w14:paraId="7EA5A13B"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Publishes data and meets four or five conditions </w:t>
      </w:r>
    </w:p>
    <w:p w14:paraId="33274D25"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Publishes data and meets six conditions </w:t>
      </w:r>
    </w:p>
    <w:p w14:paraId="05C74FE6" w14:textId="54A7C31F"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Publishes data for all its projects and </w:t>
      </w:r>
      <w:r w:rsidR="00166E68">
        <w:rPr>
          <w:rFonts w:ascii="Arial" w:eastAsia="Arial" w:hAnsi="Arial" w:cs="Arial"/>
          <w:sz w:val="22"/>
          <w:szCs w:val="22"/>
        </w:rPr>
        <w:t>meets</w:t>
      </w:r>
      <w:r w:rsidRPr="00E619C8">
        <w:rPr>
          <w:rFonts w:ascii="Arial" w:eastAsia="Arial" w:hAnsi="Arial" w:cs="Arial"/>
          <w:sz w:val="22"/>
          <w:szCs w:val="22"/>
        </w:rPr>
        <w:t xml:space="preserve"> the seven conditions</w:t>
      </w:r>
    </w:p>
    <w:p w14:paraId="4A50DAA9" w14:textId="77777777" w:rsidR="002033A5" w:rsidRPr="00E619C8" w:rsidRDefault="002033A5">
      <w:pPr>
        <w:spacing w:line="276" w:lineRule="auto"/>
        <w:rPr>
          <w:rFonts w:ascii="Arial" w:eastAsia="Arial" w:hAnsi="Arial" w:cs="Arial"/>
          <w:sz w:val="22"/>
          <w:szCs w:val="22"/>
        </w:rPr>
      </w:pPr>
    </w:p>
    <w:p w14:paraId="1AE15066"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50D62C13"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4365B8A2" w14:textId="77777777" w:rsidR="002033A5" w:rsidRPr="00E619C8" w:rsidRDefault="002033A5">
      <w:pPr>
        <w:spacing w:line="276" w:lineRule="auto"/>
        <w:ind w:firstLine="720"/>
        <w:rPr>
          <w:rFonts w:ascii="Arial" w:eastAsia="Arial" w:hAnsi="Arial" w:cs="Arial"/>
          <w:sz w:val="22"/>
          <w:szCs w:val="22"/>
        </w:rPr>
      </w:pPr>
    </w:p>
    <w:p w14:paraId="3068EFA0" w14:textId="45F74373"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 xml:space="preserve">7. Does the entity publish </w:t>
      </w:r>
      <w:r w:rsidR="00166E68">
        <w:rPr>
          <w:rFonts w:ascii="Arial" w:eastAsia="Arial" w:hAnsi="Arial" w:cs="Arial"/>
          <w:b/>
          <w:bCs/>
          <w:sz w:val="22"/>
          <w:szCs w:val="22"/>
        </w:rPr>
        <w:t>visualisations on its website or other places (for example,</w:t>
      </w:r>
      <w:r w:rsidRPr="00E619C8">
        <w:rPr>
          <w:rFonts w:ascii="Arial" w:eastAsia="Arial" w:hAnsi="Arial" w:cs="Arial"/>
          <w:b/>
          <w:bCs/>
          <w:sz w:val="22"/>
          <w:szCs w:val="22"/>
        </w:rPr>
        <w:t xml:space="preserve"> physical) that can graphically facilitate the presentation and interpretation, by citizens, of information on infrastructure projects?</w:t>
      </w:r>
    </w:p>
    <w:p w14:paraId="44BD9F9F" w14:textId="554C3AE8"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 entity does not publish </w:t>
      </w:r>
      <w:r w:rsidR="00166E68">
        <w:rPr>
          <w:rFonts w:ascii="Arial" w:eastAsia="Arial" w:hAnsi="Arial" w:cs="Arial"/>
          <w:sz w:val="22"/>
          <w:szCs w:val="22"/>
        </w:rPr>
        <w:t>visualisations</w:t>
      </w:r>
      <w:r w:rsidRPr="00E619C8">
        <w:rPr>
          <w:rFonts w:ascii="Arial" w:eastAsia="Arial" w:hAnsi="Arial" w:cs="Arial"/>
          <w:sz w:val="22"/>
          <w:szCs w:val="22"/>
        </w:rPr>
        <w:t xml:space="preserve"> on this topic </w:t>
      </w:r>
    </w:p>
    <w:p w14:paraId="39A17014" w14:textId="78E8FA03"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w:t>
      </w:r>
      <w:r w:rsidR="00166E68">
        <w:rPr>
          <w:rFonts w:ascii="Arial" w:eastAsia="Arial" w:hAnsi="Arial" w:cs="Arial"/>
          <w:sz w:val="22"/>
          <w:szCs w:val="22"/>
        </w:rPr>
        <w:t>Published</w:t>
      </w:r>
      <w:r w:rsidRPr="00E619C8">
        <w:rPr>
          <w:rFonts w:ascii="Arial" w:eastAsia="Arial" w:hAnsi="Arial" w:cs="Arial"/>
          <w:sz w:val="22"/>
          <w:szCs w:val="22"/>
        </w:rPr>
        <w:t xml:space="preserve"> but not regularly </w:t>
      </w:r>
    </w:p>
    <w:p w14:paraId="01557687" w14:textId="452F5EFB"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Publishes </w:t>
      </w:r>
      <w:r w:rsidR="00166E68">
        <w:rPr>
          <w:rFonts w:ascii="Arial" w:eastAsia="Arial" w:hAnsi="Arial" w:cs="Arial"/>
          <w:sz w:val="22"/>
          <w:szCs w:val="22"/>
        </w:rPr>
        <w:t>visualisations</w:t>
      </w:r>
      <w:r w:rsidRPr="00E619C8">
        <w:rPr>
          <w:rFonts w:ascii="Arial" w:eastAsia="Arial" w:hAnsi="Arial" w:cs="Arial"/>
          <w:sz w:val="22"/>
          <w:szCs w:val="22"/>
        </w:rPr>
        <w:t xml:space="preserve"> regularly on its different projects (it can be on the web or in other media, such as printed)</w:t>
      </w:r>
    </w:p>
    <w:p w14:paraId="46B0C28E" w14:textId="77777777" w:rsidR="002033A5" w:rsidRPr="00E619C8" w:rsidRDefault="002033A5">
      <w:pPr>
        <w:spacing w:line="276" w:lineRule="auto"/>
        <w:rPr>
          <w:rFonts w:ascii="Arial" w:eastAsia="Arial" w:hAnsi="Arial" w:cs="Arial"/>
          <w:sz w:val="22"/>
          <w:szCs w:val="22"/>
        </w:rPr>
      </w:pPr>
    </w:p>
    <w:p w14:paraId="06248D32"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43495A4E"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52B9EF70" w14:textId="77777777" w:rsidR="00DB063F" w:rsidRPr="00E619C8" w:rsidRDefault="00DB063F">
      <w:pPr>
        <w:spacing w:line="276" w:lineRule="auto"/>
        <w:rPr>
          <w:rFonts w:ascii="Arial" w:eastAsia="Arial" w:hAnsi="Arial" w:cs="Arial"/>
          <w:sz w:val="22"/>
          <w:szCs w:val="22"/>
        </w:rPr>
      </w:pPr>
    </w:p>
    <w:p w14:paraId="481C24AD" w14:textId="53412E29" w:rsidR="002033A5" w:rsidRPr="00E619C8" w:rsidRDefault="00E113EC" w:rsidP="00DB063F">
      <w:pPr>
        <w:spacing w:before="240" w:line="276" w:lineRule="auto"/>
        <w:rPr>
          <w:rFonts w:ascii="Arial" w:eastAsia="Arial" w:hAnsi="Arial" w:cs="Arial"/>
          <w:b/>
          <w:bCs/>
          <w:color w:val="C00000"/>
        </w:rPr>
      </w:pPr>
      <w:bookmarkStart w:id="46" w:name="_heading=h.1y1gwz6eary4" w:colFirst="0" w:colLast="0"/>
      <w:bookmarkStart w:id="47" w:name="_heading=h.pjrluatwap07" w:colFirst="0" w:colLast="0"/>
      <w:bookmarkEnd w:id="46"/>
      <w:bookmarkEnd w:id="47"/>
      <w:r w:rsidRPr="00E619C8">
        <w:rPr>
          <w:rFonts w:ascii="Arial" w:eastAsia="Arial" w:hAnsi="Arial" w:cs="Arial"/>
          <w:b/>
          <w:bCs/>
          <w:color w:val="C00000"/>
        </w:rPr>
        <w:t>Variable 2.2: Institutional processes</w:t>
      </w:r>
    </w:p>
    <w:p w14:paraId="7AB7D404" w14:textId="77777777" w:rsidR="002033A5" w:rsidRPr="00E619C8" w:rsidRDefault="00E113EC" w:rsidP="00DB063F">
      <w:pPr>
        <w:spacing w:before="240" w:after="240" w:line="276" w:lineRule="auto"/>
        <w:rPr>
          <w:rFonts w:ascii="Arial" w:eastAsia="Arial" w:hAnsi="Arial" w:cs="Arial"/>
          <w:b/>
          <w:bCs/>
        </w:rPr>
      </w:pPr>
      <w:bookmarkStart w:id="48" w:name="_heading=h.x5onaisawd2d" w:colFirst="0" w:colLast="0"/>
      <w:bookmarkEnd w:id="48"/>
      <w:r w:rsidRPr="00E619C8">
        <w:rPr>
          <w:rFonts w:ascii="Arial" w:eastAsia="Arial" w:hAnsi="Arial" w:cs="Arial"/>
          <w:b/>
          <w:bCs/>
        </w:rPr>
        <w:t>Sub-variable 2.2.1: Procedures to disclose information</w:t>
      </w:r>
    </w:p>
    <w:p w14:paraId="794D8F1E" w14:textId="65F1C793" w:rsidR="002033A5" w:rsidRPr="00E619C8" w:rsidRDefault="00E113EC" w:rsidP="00DB063F">
      <w:pPr>
        <w:spacing w:line="276" w:lineRule="auto"/>
        <w:jc w:val="both"/>
        <w:rPr>
          <w:rFonts w:ascii="Arial" w:eastAsia="Arial" w:hAnsi="Arial" w:cs="Arial"/>
          <w:sz w:val="22"/>
          <w:szCs w:val="22"/>
        </w:rPr>
      </w:pPr>
      <w:r w:rsidRPr="00E619C8">
        <w:rPr>
          <w:rFonts w:ascii="Arial" w:eastAsia="Arial" w:hAnsi="Arial" w:cs="Arial"/>
          <w:sz w:val="22"/>
          <w:szCs w:val="22"/>
        </w:rPr>
        <w:t xml:space="preserve">The 5 questions of this sub-variable </w:t>
      </w:r>
      <w:r w:rsidR="00DB063F" w:rsidRPr="00E619C8">
        <w:rPr>
          <w:rFonts w:ascii="Arial" w:eastAsia="Arial" w:hAnsi="Arial" w:cs="Arial"/>
          <w:sz w:val="22"/>
          <w:szCs w:val="22"/>
        </w:rPr>
        <w:t>must</w:t>
      </w:r>
      <w:r w:rsidRPr="00E619C8">
        <w:rPr>
          <w:rFonts w:ascii="Arial" w:eastAsia="Arial" w:hAnsi="Arial" w:cs="Arial"/>
          <w:sz w:val="22"/>
          <w:szCs w:val="22"/>
        </w:rPr>
        <w:t xml:space="preserve"> be answered according to the entity’s </w:t>
      </w:r>
      <w:r w:rsidR="00166E68">
        <w:rPr>
          <w:rFonts w:ascii="Arial" w:eastAsia="Arial" w:hAnsi="Arial" w:cs="Arial"/>
          <w:sz w:val="22"/>
          <w:szCs w:val="22"/>
        </w:rPr>
        <w:t>formalised</w:t>
      </w:r>
      <w:r w:rsidRPr="00E619C8">
        <w:rPr>
          <w:rFonts w:ascii="Arial" w:eastAsia="Arial" w:hAnsi="Arial" w:cs="Arial"/>
          <w:sz w:val="22"/>
          <w:szCs w:val="22"/>
        </w:rPr>
        <w:t xml:space="preserve"> documentation, based on the active and reactive publication of information, and on how the procedures work in practice.</w:t>
      </w:r>
    </w:p>
    <w:p w14:paraId="2F7860DE" w14:textId="77777777" w:rsidR="002033A5" w:rsidRPr="00E619C8" w:rsidRDefault="002033A5">
      <w:pPr>
        <w:spacing w:line="276" w:lineRule="auto"/>
        <w:rPr>
          <w:rFonts w:ascii="Arial" w:eastAsia="Arial" w:hAnsi="Arial" w:cs="Arial"/>
          <w:sz w:val="22"/>
          <w:szCs w:val="22"/>
        </w:rPr>
      </w:pPr>
    </w:p>
    <w:p w14:paraId="3828FEF0" w14:textId="77777777"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1. Is there an internal documented procedure for the proactive disclosure of information on public infrastructure projects?</w:t>
      </w:r>
    </w:p>
    <w:p w14:paraId="17C9124F"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There is no procedure, or you do not know if one exists </w:t>
      </w:r>
    </w:p>
    <w:p w14:paraId="17D0215D" w14:textId="14962878"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There is a procedure, but it is not </w:t>
      </w:r>
      <w:r w:rsidR="00166E68">
        <w:rPr>
          <w:rFonts w:ascii="Arial" w:eastAsia="Arial" w:hAnsi="Arial" w:cs="Arial"/>
          <w:sz w:val="22"/>
          <w:szCs w:val="22"/>
        </w:rPr>
        <w:t>formalised,</w:t>
      </w:r>
      <w:r w:rsidRPr="00E619C8">
        <w:rPr>
          <w:rFonts w:ascii="Arial" w:eastAsia="Arial" w:hAnsi="Arial" w:cs="Arial"/>
          <w:sz w:val="22"/>
          <w:szCs w:val="22"/>
        </w:rPr>
        <w:t xml:space="preserve"> and it does not cover the life cycle of the projects (eg</w:t>
      </w:r>
      <w:r w:rsidR="00166E68">
        <w:rPr>
          <w:rFonts w:ascii="Arial" w:eastAsia="Arial" w:hAnsi="Arial" w:cs="Arial"/>
          <w:sz w:val="22"/>
          <w:szCs w:val="22"/>
        </w:rPr>
        <w:t>,</w:t>
      </w:r>
      <w:r w:rsidRPr="00E619C8">
        <w:rPr>
          <w:rFonts w:ascii="Arial" w:eastAsia="Arial" w:hAnsi="Arial" w:cs="Arial"/>
          <w:sz w:val="22"/>
          <w:szCs w:val="22"/>
        </w:rPr>
        <w:t xml:space="preserve"> it only covers contracting and not previous or subsequent stages) </w:t>
      </w:r>
    </w:p>
    <w:p w14:paraId="269CBD43" w14:textId="2057258F"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There is a procedure, but it only meets one of these two conditions: either it is </w:t>
      </w:r>
      <w:r w:rsidR="00166E68">
        <w:rPr>
          <w:rFonts w:ascii="Arial" w:eastAsia="Arial" w:hAnsi="Arial" w:cs="Arial"/>
          <w:sz w:val="22"/>
          <w:szCs w:val="22"/>
        </w:rPr>
        <w:t>formalised</w:t>
      </w:r>
      <w:r w:rsidRPr="00E619C8">
        <w:rPr>
          <w:rFonts w:ascii="Arial" w:eastAsia="Arial" w:hAnsi="Arial" w:cs="Arial"/>
          <w:sz w:val="22"/>
          <w:szCs w:val="22"/>
        </w:rPr>
        <w:t xml:space="preserve">, or it covers the life cycle of the project (not both) </w:t>
      </w:r>
    </w:p>
    <w:p w14:paraId="661569F6" w14:textId="2BE7A799"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 procedure is </w:t>
      </w:r>
      <w:r w:rsidR="00166E68">
        <w:rPr>
          <w:rFonts w:ascii="Arial" w:eastAsia="Arial" w:hAnsi="Arial" w:cs="Arial"/>
          <w:sz w:val="22"/>
          <w:szCs w:val="22"/>
        </w:rPr>
        <w:t>formalised</w:t>
      </w:r>
      <w:r w:rsidRPr="00E619C8">
        <w:rPr>
          <w:rFonts w:ascii="Arial" w:eastAsia="Arial" w:hAnsi="Arial" w:cs="Arial"/>
          <w:sz w:val="22"/>
          <w:szCs w:val="22"/>
        </w:rPr>
        <w:t xml:space="preserve"> and covers the life cycle of the project</w:t>
      </w:r>
    </w:p>
    <w:p w14:paraId="5E8EEC2A" w14:textId="77777777" w:rsidR="002033A5" w:rsidRPr="00E619C8" w:rsidRDefault="002033A5">
      <w:pPr>
        <w:spacing w:line="276" w:lineRule="auto"/>
        <w:rPr>
          <w:rFonts w:ascii="Arial" w:eastAsia="Arial" w:hAnsi="Arial" w:cs="Arial"/>
          <w:sz w:val="22"/>
          <w:szCs w:val="22"/>
        </w:rPr>
      </w:pPr>
    </w:p>
    <w:p w14:paraId="2C06F362"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21B3AE33"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052EABD4" w14:textId="77777777" w:rsidR="002033A5" w:rsidRPr="00E619C8" w:rsidRDefault="002033A5">
      <w:pPr>
        <w:spacing w:line="276" w:lineRule="auto"/>
        <w:rPr>
          <w:rFonts w:ascii="Arial" w:eastAsia="Arial" w:hAnsi="Arial" w:cs="Arial"/>
          <w:sz w:val="22"/>
          <w:szCs w:val="22"/>
        </w:rPr>
      </w:pPr>
    </w:p>
    <w:p w14:paraId="6A829A90" w14:textId="77777777"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2. Does the entity’s procedure for proactive information disclosure have the names (or roles) of the officers who are responsible for the different stages of this procedure?</w:t>
      </w:r>
    </w:p>
    <w:p w14:paraId="2F706925"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There is no procedure, or the procedure does not name anyone </w:t>
      </w:r>
    </w:p>
    <w:p w14:paraId="067E7A53"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 procedure names only a few people/roles, so there are small gaps </w:t>
      </w:r>
    </w:p>
    <w:p w14:paraId="3D277960" w14:textId="5CB22A09"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 procedure names all persons/roles per stage</w:t>
      </w:r>
      <w:r w:rsidR="00166E68">
        <w:rPr>
          <w:rFonts w:ascii="Arial" w:eastAsia="Arial" w:hAnsi="Arial" w:cs="Arial"/>
          <w:sz w:val="22"/>
          <w:szCs w:val="22"/>
        </w:rPr>
        <w:t>,</w:t>
      </w:r>
      <w:r w:rsidRPr="00E619C8">
        <w:rPr>
          <w:rFonts w:ascii="Arial" w:eastAsia="Arial" w:hAnsi="Arial" w:cs="Arial"/>
          <w:sz w:val="22"/>
          <w:szCs w:val="22"/>
        </w:rPr>
        <w:t xml:space="preserve"> so that there is always someone responsible</w:t>
      </w:r>
    </w:p>
    <w:p w14:paraId="2E682CB2" w14:textId="77777777" w:rsidR="002033A5" w:rsidRPr="00E619C8" w:rsidRDefault="002033A5">
      <w:pPr>
        <w:spacing w:line="276" w:lineRule="auto"/>
        <w:rPr>
          <w:rFonts w:ascii="Arial" w:eastAsia="Arial" w:hAnsi="Arial" w:cs="Arial"/>
          <w:sz w:val="22"/>
          <w:szCs w:val="22"/>
        </w:rPr>
      </w:pPr>
    </w:p>
    <w:p w14:paraId="6D8773D1"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0072F9E3"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55E92E97" w14:textId="77777777" w:rsidR="002033A5" w:rsidRPr="00E619C8" w:rsidRDefault="002033A5">
      <w:pPr>
        <w:spacing w:line="276" w:lineRule="auto"/>
        <w:rPr>
          <w:rFonts w:ascii="Arial" w:eastAsia="Arial" w:hAnsi="Arial" w:cs="Arial"/>
          <w:sz w:val="22"/>
          <w:szCs w:val="22"/>
        </w:rPr>
      </w:pPr>
    </w:p>
    <w:p w14:paraId="6DAD2860" w14:textId="77777777"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3. Is there a documented professional profile in the entity for an “information officer”, “information unit”, or similar title, that describes the professional requirements and main tasks of this person/unit?</w:t>
      </w:r>
    </w:p>
    <w:p w14:paraId="26F2E828" w14:textId="4F2CBCA0"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no documented profile</w:t>
      </w:r>
      <w:r w:rsidR="00166E68">
        <w:rPr>
          <w:rFonts w:ascii="Arial" w:eastAsia="Arial" w:hAnsi="Arial" w:cs="Arial"/>
          <w:sz w:val="22"/>
          <w:szCs w:val="22"/>
        </w:rPr>
        <w:t>,</w:t>
      </w:r>
      <w:r w:rsidRPr="00E619C8">
        <w:rPr>
          <w:rFonts w:ascii="Arial" w:eastAsia="Arial" w:hAnsi="Arial" w:cs="Arial"/>
          <w:sz w:val="22"/>
          <w:szCs w:val="22"/>
        </w:rPr>
        <w:t xml:space="preserve"> or you do not know if one exists </w:t>
      </w:r>
    </w:p>
    <w:p w14:paraId="4FC114FB" w14:textId="7241F81D"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There is a profile, but it is not </w:t>
      </w:r>
      <w:r w:rsidR="00166E68">
        <w:rPr>
          <w:rFonts w:ascii="Arial" w:eastAsia="Arial" w:hAnsi="Arial" w:cs="Arial"/>
          <w:sz w:val="22"/>
          <w:szCs w:val="22"/>
        </w:rPr>
        <w:t>formalised</w:t>
      </w:r>
      <w:r w:rsidRPr="00E619C8">
        <w:rPr>
          <w:rFonts w:ascii="Arial" w:eastAsia="Arial" w:hAnsi="Arial" w:cs="Arial"/>
          <w:sz w:val="22"/>
          <w:szCs w:val="22"/>
        </w:rPr>
        <w:t>, or in practice</w:t>
      </w:r>
      <w:r w:rsidR="00166E68">
        <w:rPr>
          <w:rFonts w:ascii="Arial" w:eastAsia="Arial" w:hAnsi="Arial" w:cs="Arial"/>
          <w:sz w:val="22"/>
          <w:szCs w:val="22"/>
        </w:rPr>
        <w:t>,</w:t>
      </w:r>
      <w:r w:rsidRPr="00E619C8">
        <w:rPr>
          <w:rFonts w:ascii="Arial" w:eastAsia="Arial" w:hAnsi="Arial" w:cs="Arial"/>
          <w:sz w:val="22"/>
          <w:szCs w:val="22"/>
        </w:rPr>
        <w:t xml:space="preserve"> it includes other responsibilities (other activities outside of those related to access to public information) </w:t>
      </w:r>
    </w:p>
    <w:p w14:paraId="3D4EC1D7" w14:textId="089D463F"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a formal profile</w:t>
      </w:r>
      <w:r w:rsidR="00166E68">
        <w:rPr>
          <w:rFonts w:ascii="Arial" w:eastAsia="Arial" w:hAnsi="Arial" w:cs="Arial"/>
          <w:sz w:val="22"/>
          <w:szCs w:val="22"/>
        </w:rPr>
        <w:t>,</w:t>
      </w:r>
      <w:r w:rsidRPr="00E619C8">
        <w:rPr>
          <w:rFonts w:ascii="Arial" w:eastAsia="Arial" w:hAnsi="Arial" w:cs="Arial"/>
          <w:sz w:val="22"/>
          <w:szCs w:val="22"/>
        </w:rPr>
        <w:t xml:space="preserve"> and all the responsibilities performed in practice are related to it</w:t>
      </w:r>
    </w:p>
    <w:p w14:paraId="116F3B16" w14:textId="77777777" w:rsidR="002033A5" w:rsidRPr="00E619C8" w:rsidRDefault="002033A5">
      <w:pPr>
        <w:spacing w:line="276" w:lineRule="auto"/>
        <w:rPr>
          <w:rFonts w:ascii="Arial" w:eastAsia="Arial" w:hAnsi="Arial" w:cs="Arial"/>
          <w:sz w:val="22"/>
          <w:szCs w:val="22"/>
        </w:rPr>
      </w:pPr>
    </w:p>
    <w:p w14:paraId="733A76A2"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24E6152C"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29C6F740" w14:textId="77777777" w:rsidR="002033A5" w:rsidRPr="00E619C8" w:rsidRDefault="002033A5">
      <w:pPr>
        <w:spacing w:line="276" w:lineRule="auto"/>
        <w:rPr>
          <w:rFonts w:ascii="Arial" w:eastAsia="Arial" w:hAnsi="Arial" w:cs="Arial"/>
          <w:sz w:val="22"/>
          <w:szCs w:val="22"/>
        </w:rPr>
      </w:pPr>
    </w:p>
    <w:p w14:paraId="510829EA" w14:textId="660395D6"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 xml:space="preserve">4. Is there a person assigned </w:t>
      </w:r>
      <w:r w:rsidR="00166E68">
        <w:rPr>
          <w:rFonts w:ascii="Arial" w:eastAsia="Arial" w:hAnsi="Arial" w:cs="Arial"/>
          <w:b/>
          <w:bCs/>
          <w:sz w:val="22"/>
          <w:szCs w:val="22"/>
        </w:rPr>
        <w:t>to the position of information officer, and does the person fully comply</w:t>
      </w:r>
      <w:r w:rsidRPr="00E619C8">
        <w:rPr>
          <w:rFonts w:ascii="Arial" w:eastAsia="Arial" w:hAnsi="Arial" w:cs="Arial"/>
          <w:b/>
          <w:bCs/>
          <w:sz w:val="22"/>
          <w:szCs w:val="22"/>
        </w:rPr>
        <w:t xml:space="preserve"> with the profile conditions?</w:t>
      </w:r>
    </w:p>
    <w:p w14:paraId="413CE3C7"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There is no person assigned to the position, or the profile or position does not exist </w:t>
      </w:r>
    </w:p>
    <w:p w14:paraId="57FB271A" w14:textId="09338E88"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a person assigned</w:t>
      </w:r>
      <w:r w:rsidR="00166E68">
        <w:rPr>
          <w:rFonts w:ascii="Arial" w:eastAsia="Arial" w:hAnsi="Arial" w:cs="Arial"/>
          <w:sz w:val="22"/>
          <w:szCs w:val="22"/>
        </w:rPr>
        <w:t>,</w:t>
      </w:r>
      <w:r w:rsidRPr="00E619C8">
        <w:rPr>
          <w:rFonts w:ascii="Arial" w:eastAsia="Arial" w:hAnsi="Arial" w:cs="Arial"/>
          <w:sz w:val="22"/>
          <w:szCs w:val="22"/>
        </w:rPr>
        <w:t xml:space="preserve"> but he/she does not meet the profile requirements </w:t>
      </w:r>
    </w:p>
    <w:p w14:paraId="5917FA2B"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 assigned person meets all the requirements</w:t>
      </w:r>
    </w:p>
    <w:p w14:paraId="07E528C7" w14:textId="77777777" w:rsidR="002033A5" w:rsidRPr="00E619C8" w:rsidRDefault="002033A5">
      <w:pPr>
        <w:spacing w:line="276" w:lineRule="auto"/>
        <w:rPr>
          <w:rFonts w:ascii="Arial" w:eastAsia="Arial" w:hAnsi="Arial" w:cs="Arial"/>
          <w:sz w:val="22"/>
          <w:szCs w:val="22"/>
        </w:rPr>
      </w:pPr>
    </w:p>
    <w:p w14:paraId="7D5A1602"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040B4204"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3EF04D86" w14:textId="77777777" w:rsidR="002033A5" w:rsidRPr="00E619C8" w:rsidRDefault="002033A5">
      <w:pPr>
        <w:spacing w:line="276" w:lineRule="auto"/>
        <w:rPr>
          <w:rFonts w:ascii="Arial" w:eastAsia="Arial" w:hAnsi="Arial" w:cs="Arial"/>
          <w:sz w:val="22"/>
          <w:szCs w:val="22"/>
        </w:rPr>
      </w:pPr>
    </w:p>
    <w:p w14:paraId="23DADEC1" w14:textId="08580E19"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 xml:space="preserve">5. Is there a </w:t>
      </w:r>
      <w:r w:rsidR="00166E68">
        <w:rPr>
          <w:rFonts w:ascii="Arial" w:eastAsia="Arial" w:hAnsi="Arial" w:cs="Arial"/>
          <w:b/>
          <w:bCs/>
          <w:sz w:val="22"/>
          <w:szCs w:val="22"/>
        </w:rPr>
        <w:t>formalised</w:t>
      </w:r>
      <w:r w:rsidRPr="00E619C8">
        <w:rPr>
          <w:rFonts w:ascii="Arial" w:eastAsia="Arial" w:hAnsi="Arial" w:cs="Arial"/>
          <w:b/>
          <w:bCs/>
          <w:sz w:val="22"/>
          <w:szCs w:val="22"/>
        </w:rPr>
        <w:t xml:space="preserve"> internal procedure to receive and track requests for information on infrastructure projects that come from citizens or any other actor?</w:t>
      </w:r>
    </w:p>
    <w:p w14:paraId="1EA05A1F" w14:textId="77777777" w:rsidR="002033A5" w:rsidRPr="00E619C8" w:rsidRDefault="002033A5">
      <w:pPr>
        <w:spacing w:line="276" w:lineRule="auto"/>
        <w:rPr>
          <w:rFonts w:ascii="Arial" w:eastAsia="Arial" w:hAnsi="Arial" w:cs="Arial"/>
          <w:sz w:val="22"/>
          <w:szCs w:val="22"/>
        </w:rPr>
      </w:pPr>
    </w:p>
    <w:p w14:paraId="08AE2019"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no tracking mechanism on information requests, or you do not know if one exists</w:t>
      </w:r>
    </w:p>
    <w:p w14:paraId="1B12017A" w14:textId="611FB1BF"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a tracking mechanism</w:t>
      </w:r>
      <w:r w:rsidR="00166E68">
        <w:rPr>
          <w:rFonts w:ascii="Arial" w:eastAsia="Arial" w:hAnsi="Arial" w:cs="Arial"/>
          <w:sz w:val="22"/>
          <w:szCs w:val="22"/>
        </w:rPr>
        <w:t>,</w:t>
      </w:r>
      <w:r w:rsidRPr="00E619C8">
        <w:rPr>
          <w:rFonts w:ascii="Arial" w:eastAsia="Arial" w:hAnsi="Arial" w:cs="Arial"/>
          <w:sz w:val="22"/>
          <w:szCs w:val="22"/>
        </w:rPr>
        <w:t xml:space="preserve"> but </w:t>
      </w:r>
      <w:r w:rsidR="00166E68">
        <w:rPr>
          <w:rFonts w:ascii="Arial" w:eastAsia="Arial" w:hAnsi="Arial" w:cs="Arial"/>
          <w:sz w:val="22"/>
          <w:szCs w:val="22"/>
        </w:rPr>
        <w:t xml:space="preserve">it </w:t>
      </w:r>
      <w:r w:rsidRPr="00E619C8">
        <w:rPr>
          <w:rFonts w:ascii="Arial" w:eastAsia="Arial" w:hAnsi="Arial" w:cs="Arial"/>
          <w:sz w:val="22"/>
          <w:szCs w:val="22"/>
        </w:rPr>
        <w:t>presents weaknesses that might result in a lack of response</w:t>
      </w:r>
    </w:p>
    <w:p w14:paraId="1CCF671C"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a tracking mechanism on which no information request can be lost or unanswered</w:t>
      </w:r>
    </w:p>
    <w:p w14:paraId="5BB36314" w14:textId="77777777" w:rsidR="002033A5" w:rsidRPr="00E619C8" w:rsidRDefault="002033A5">
      <w:pPr>
        <w:spacing w:line="276" w:lineRule="auto"/>
        <w:rPr>
          <w:rFonts w:ascii="Arial" w:eastAsia="Arial" w:hAnsi="Arial" w:cs="Arial"/>
          <w:sz w:val="22"/>
          <w:szCs w:val="22"/>
        </w:rPr>
      </w:pPr>
    </w:p>
    <w:p w14:paraId="0BECE22A"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19AD2E51"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711C85D1" w14:textId="77777777" w:rsidR="00DB063F" w:rsidRPr="00E619C8" w:rsidRDefault="00DB063F">
      <w:pPr>
        <w:spacing w:line="276" w:lineRule="auto"/>
        <w:rPr>
          <w:rFonts w:ascii="Arial" w:eastAsia="Arial" w:hAnsi="Arial" w:cs="Arial"/>
          <w:sz w:val="22"/>
          <w:szCs w:val="22"/>
        </w:rPr>
      </w:pPr>
    </w:p>
    <w:p w14:paraId="23D690BA" w14:textId="77777777" w:rsidR="002033A5" w:rsidRPr="00E619C8" w:rsidRDefault="00E113EC" w:rsidP="00DB063F">
      <w:pPr>
        <w:spacing w:before="240" w:after="240" w:line="276" w:lineRule="auto"/>
        <w:rPr>
          <w:rFonts w:ascii="Arial" w:eastAsia="Arial" w:hAnsi="Arial" w:cs="Arial"/>
          <w:b/>
          <w:bCs/>
        </w:rPr>
      </w:pPr>
      <w:bookmarkStart w:id="49" w:name="_heading=h.xkf7g13hg2xw" w:colFirst="0" w:colLast="0"/>
      <w:bookmarkEnd w:id="49"/>
      <w:r w:rsidRPr="00E619C8">
        <w:rPr>
          <w:rFonts w:ascii="Arial" w:eastAsia="Arial" w:hAnsi="Arial" w:cs="Arial"/>
          <w:b/>
          <w:bCs/>
        </w:rPr>
        <w:t>Sub-variable 2.2.2: Enablers and barriers to disclosing information</w:t>
      </w:r>
    </w:p>
    <w:p w14:paraId="797AE4FE" w14:textId="77777777" w:rsidR="002033A5" w:rsidRPr="00E619C8" w:rsidRDefault="00E113EC">
      <w:pPr>
        <w:spacing w:line="276" w:lineRule="auto"/>
        <w:rPr>
          <w:rFonts w:ascii="Arial" w:eastAsia="Arial" w:hAnsi="Arial" w:cs="Arial"/>
          <w:sz w:val="22"/>
          <w:szCs w:val="22"/>
          <w:highlight w:val="yellow"/>
        </w:rPr>
      </w:pPr>
      <w:r w:rsidRPr="00E619C8">
        <w:rPr>
          <w:rFonts w:ascii="Arial" w:eastAsia="Arial" w:hAnsi="Arial" w:cs="Arial"/>
          <w:sz w:val="22"/>
          <w:szCs w:val="22"/>
        </w:rPr>
        <w:t>The 6 questions of this sub-variable are answered according to the entity's documentation and according to how the different consulted aspects work in practice.</w:t>
      </w:r>
    </w:p>
    <w:p w14:paraId="7AAFD1AA" w14:textId="77777777" w:rsidR="002033A5" w:rsidRPr="00E619C8" w:rsidRDefault="002033A5">
      <w:pPr>
        <w:spacing w:line="276" w:lineRule="auto"/>
        <w:rPr>
          <w:rFonts w:ascii="Arial" w:eastAsia="Arial" w:hAnsi="Arial" w:cs="Arial"/>
          <w:sz w:val="22"/>
          <w:szCs w:val="22"/>
        </w:rPr>
      </w:pPr>
    </w:p>
    <w:p w14:paraId="460B6E74" w14:textId="09473D6A"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 xml:space="preserve">1. Does the entity have an internal policy or an internal </w:t>
      </w:r>
      <w:r w:rsidR="00166E68">
        <w:rPr>
          <w:rFonts w:ascii="Arial" w:eastAsia="Arial" w:hAnsi="Arial" w:cs="Arial"/>
          <w:b/>
          <w:bCs/>
          <w:sz w:val="22"/>
          <w:szCs w:val="22"/>
        </w:rPr>
        <w:t xml:space="preserve">formalisation of a national or subnational regulation, issued by the authorities of the entity, for the publication of information that contains, among other data, </w:t>
      </w:r>
      <w:r w:rsidR="00232D2F">
        <w:rPr>
          <w:rFonts w:ascii="Arial" w:eastAsia="Arial" w:hAnsi="Arial" w:cs="Arial"/>
          <w:b/>
          <w:bCs/>
          <w:sz w:val="22"/>
          <w:szCs w:val="22"/>
        </w:rPr>
        <w:t>information</w:t>
      </w:r>
      <w:r w:rsidRPr="00E619C8">
        <w:rPr>
          <w:rFonts w:ascii="Arial" w:eastAsia="Arial" w:hAnsi="Arial" w:cs="Arial"/>
          <w:b/>
          <w:bCs/>
          <w:sz w:val="22"/>
          <w:szCs w:val="22"/>
        </w:rPr>
        <w:t xml:space="preserve"> related to infrastructure projects?</w:t>
      </w:r>
    </w:p>
    <w:p w14:paraId="3F99302F" w14:textId="3FC3226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no internal policy</w:t>
      </w:r>
      <w:r w:rsidR="00232D2F">
        <w:rPr>
          <w:rFonts w:ascii="Arial" w:eastAsia="Arial" w:hAnsi="Arial" w:cs="Arial"/>
          <w:sz w:val="22"/>
          <w:szCs w:val="22"/>
        </w:rPr>
        <w:t>,</w:t>
      </w:r>
      <w:r w:rsidRPr="00E619C8">
        <w:rPr>
          <w:rFonts w:ascii="Arial" w:eastAsia="Arial" w:hAnsi="Arial" w:cs="Arial"/>
          <w:sz w:val="22"/>
          <w:szCs w:val="22"/>
        </w:rPr>
        <w:t xml:space="preserve"> nor is there a </w:t>
      </w:r>
      <w:r w:rsidR="00232D2F">
        <w:rPr>
          <w:rFonts w:ascii="Arial" w:eastAsia="Arial" w:hAnsi="Arial" w:cs="Arial"/>
          <w:sz w:val="22"/>
          <w:szCs w:val="22"/>
        </w:rPr>
        <w:t>formalisation</w:t>
      </w:r>
      <w:r w:rsidRPr="00E619C8">
        <w:rPr>
          <w:rFonts w:ascii="Arial" w:eastAsia="Arial" w:hAnsi="Arial" w:cs="Arial"/>
          <w:sz w:val="22"/>
          <w:szCs w:val="22"/>
        </w:rPr>
        <w:t xml:space="preserve"> of a national regulation, </w:t>
      </w:r>
      <w:r w:rsidR="00232D2F">
        <w:rPr>
          <w:rFonts w:ascii="Arial" w:eastAsia="Arial" w:hAnsi="Arial" w:cs="Arial"/>
          <w:sz w:val="22"/>
          <w:szCs w:val="22"/>
        </w:rPr>
        <w:t>nor</w:t>
      </w:r>
      <w:r w:rsidRPr="00E619C8">
        <w:rPr>
          <w:rFonts w:ascii="Arial" w:eastAsia="Arial" w:hAnsi="Arial" w:cs="Arial"/>
          <w:sz w:val="22"/>
          <w:szCs w:val="22"/>
        </w:rPr>
        <w:t xml:space="preserve"> do </w:t>
      </w:r>
      <w:r w:rsidR="00232D2F">
        <w:rPr>
          <w:rFonts w:ascii="Arial" w:eastAsia="Arial" w:hAnsi="Arial" w:cs="Arial"/>
          <w:sz w:val="22"/>
          <w:szCs w:val="22"/>
        </w:rPr>
        <w:t>you</w:t>
      </w:r>
      <w:r w:rsidRPr="00E619C8">
        <w:rPr>
          <w:rFonts w:ascii="Arial" w:eastAsia="Arial" w:hAnsi="Arial" w:cs="Arial"/>
          <w:sz w:val="22"/>
          <w:szCs w:val="22"/>
        </w:rPr>
        <w:t xml:space="preserve"> know if there is any similar instrument</w:t>
      </w:r>
    </w:p>
    <w:p w14:paraId="72DA3EF5"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one, but the entity does not fully comply with it in practice</w:t>
      </w:r>
    </w:p>
    <w:p w14:paraId="39AE2C93" w14:textId="50AC22CA"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one</w:t>
      </w:r>
      <w:r w:rsidR="00232D2F">
        <w:rPr>
          <w:rFonts w:ascii="Arial" w:eastAsia="Arial" w:hAnsi="Arial" w:cs="Arial"/>
          <w:sz w:val="22"/>
          <w:szCs w:val="22"/>
        </w:rPr>
        <w:t>,</w:t>
      </w:r>
      <w:r w:rsidRPr="00E619C8">
        <w:rPr>
          <w:rFonts w:ascii="Arial" w:eastAsia="Arial" w:hAnsi="Arial" w:cs="Arial"/>
          <w:sz w:val="22"/>
          <w:szCs w:val="22"/>
        </w:rPr>
        <w:t xml:space="preserve"> and the entity fully complies with it in practice </w:t>
      </w:r>
    </w:p>
    <w:p w14:paraId="69F0C8B5" w14:textId="1B2B4FB9"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one</w:t>
      </w:r>
      <w:r w:rsidR="00232D2F">
        <w:rPr>
          <w:rFonts w:ascii="Arial" w:eastAsia="Arial" w:hAnsi="Arial" w:cs="Arial"/>
          <w:sz w:val="22"/>
          <w:szCs w:val="22"/>
        </w:rPr>
        <w:t>;</w:t>
      </w:r>
      <w:r w:rsidRPr="00E619C8">
        <w:rPr>
          <w:rFonts w:ascii="Arial" w:eastAsia="Arial" w:hAnsi="Arial" w:cs="Arial"/>
          <w:sz w:val="22"/>
          <w:szCs w:val="22"/>
        </w:rPr>
        <w:t xml:space="preserve"> the entity fully complies with it in practice, and it is based on the IDS or OC4IDS infrastructure data standard</w:t>
      </w:r>
    </w:p>
    <w:p w14:paraId="5550C8A1" w14:textId="77777777" w:rsidR="002033A5" w:rsidRPr="00E619C8" w:rsidRDefault="002033A5">
      <w:pPr>
        <w:spacing w:line="276" w:lineRule="auto"/>
        <w:rPr>
          <w:rFonts w:ascii="Arial" w:eastAsia="Arial" w:hAnsi="Arial" w:cs="Arial"/>
          <w:sz w:val="22"/>
          <w:szCs w:val="22"/>
        </w:rPr>
      </w:pPr>
    </w:p>
    <w:p w14:paraId="172DB284"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4F262641"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05965D37" w14:textId="77777777" w:rsidR="002033A5" w:rsidRPr="00E619C8" w:rsidRDefault="002033A5">
      <w:pPr>
        <w:spacing w:line="276" w:lineRule="auto"/>
        <w:rPr>
          <w:rFonts w:ascii="Arial" w:eastAsia="Arial" w:hAnsi="Arial" w:cs="Arial"/>
          <w:sz w:val="22"/>
          <w:szCs w:val="22"/>
        </w:rPr>
      </w:pPr>
    </w:p>
    <w:p w14:paraId="7482B309" w14:textId="405F5738"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2. Is there an internal training program or similar</w:t>
      </w:r>
      <w:r w:rsidR="00232D2F">
        <w:rPr>
          <w:rFonts w:ascii="Arial" w:eastAsia="Arial" w:hAnsi="Arial" w:cs="Arial"/>
          <w:b/>
          <w:bCs/>
          <w:sz w:val="22"/>
          <w:szCs w:val="22"/>
        </w:rPr>
        <w:t xml:space="preserve"> that makes the personnel aware at all levels of matters of access to public information, including</w:t>
      </w:r>
      <w:r w:rsidRPr="00E619C8">
        <w:rPr>
          <w:rFonts w:ascii="Arial" w:eastAsia="Arial" w:hAnsi="Arial" w:cs="Arial"/>
          <w:b/>
          <w:bCs/>
          <w:sz w:val="22"/>
          <w:szCs w:val="22"/>
        </w:rPr>
        <w:t xml:space="preserve"> infrastructure projects?</w:t>
      </w:r>
    </w:p>
    <w:p w14:paraId="551B58FA" w14:textId="04B40BC3"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no training programme</w:t>
      </w:r>
      <w:r w:rsidR="00232D2F">
        <w:rPr>
          <w:rFonts w:ascii="Arial" w:eastAsia="Arial" w:hAnsi="Arial" w:cs="Arial"/>
          <w:sz w:val="22"/>
          <w:szCs w:val="22"/>
        </w:rPr>
        <w:t>,</w:t>
      </w:r>
      <w:r w:rsidRPr="00E619C8">
        <w:rPr>
          <w:rFonts w:ascii="Arial" w:eastAsia="Arial" w:hAnsi="Arial" w:cs="Arial"/>
          <w:sz w:val="22"/>
          <w:szCs w:val="22"/>
        </w:rPr>
        <w:t xml:space="preserve"> or you do not know if one exists</w:t>
      </w:r>
    </w:p>
    <w:p w14:paraId="153160A4" w14:textId="525C1BA9"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one</w:t>
      </w:r>
      <w:r w:rsidR="00232D2F">
        <w:rPr>
          <w:rFonts w:ascii="Arial" w:eastAsia="Arial" w:hAnsi="Arial" w:cs="Arial"/>
          <w:sz w:val="22"/>
          <w:szCs w:val="22"/>
        </w:rPr>
        <w:t>,</w:t>
      </w:r>
      <w:r w:rsidRPr="00E619C8">
        <w:rPr>
          <w:rFonts w:ascii="Arial" w:eastAsia="Arial" w:hAnsi="Arial" w:cs="Arial"/>
          <w:sz w:val="22"/>
          <w:szCs w:val="22"/>
        </w:rPr>
        <w:t xml:space="preserve"> but it is only applied to some of the personnel</w:t>
      </w:r>
    </w:p>
    <w:p w14:paraId="225523AF" w14:textId="29A6EAF3"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one</w:t>
      </w:r>
      <w:r w:rsidR="00232D2F">
        <w:rPr>
          <w:rFonts w:ascii="Arial" w:eastAsia="Arial" w:hAnsi="Arial" w:cs="Arial"/>
          <w:sz w:val="22"/>
          <w:szCs w:val="22"/>
        </w:rPr>
        <w:t>,</w:t>
      </w:r>
      <w:r w:rsidRPr="00E619C8">
        <w:rPr>
          <w:rFonts w:ascii="Arial" w:eastAsia="Arial" w:hAnsi="Arial" w:cs="Arial"/>
          <w:sz w:val="22"/>
          <w:szCs w:val="22"/>
        </w:rPr>
        <w:t xml:space="preserve"> and it is applied to all the entity’s personnel</w:t>
      </w:r>
    </w:p>
    <w:p w14:paraId="3746BB94" w14:textId="77777777" w:rsidR="002033A5" w:rsidRPr="00E619C8" w:rsidRDefault="002033A5">
      <w:pPr>
        <w:spacing w:line="276" w:lineRule="auto"/>
        <w:rPr>
          <w:rFonts w:ascii="Arial" w:eastAsia="Arial" w:hAnsi="Arial" w:cs="Arial"/>
          <w:sz w:val="22"/>
          <w:szCs w:val="22"/>
        </w:rPr>
      </w:pPr>
    </w:p>
    <w:p w14:paraId="2F96EFCA"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4C79D5C0"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7909F785" w14:textId="77777777" w:rsidR="002033A5" w:rsidRPr="00E619C8" w:rsidRDefault="002033A5">
      <w:pPr>
        <w:spacing w:line="276" w:lineRule="auto"/>
        <w:rPr>
          <w:rFonts w:ascii="Arial" w:eastAsia="Arial" w:hAnsi="Arial" w:cs="Arial"/>
          <w:sz w:val="22"/>
          <w:szCs w:val="22"/>
        </w:rPr>
      </w:pPr>
    </w:p>
    <w:p w14:paraId="0E69A22E" w14:textId="479B8EE1"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 xml:space="preserve">3. Are there internal limitations to </w:t>
      </w:r>
      <w:r w:rsidR="00232D2F">
        <w:rPr>
          <w:rFonts w:ascii="Arial" w:eastAsia="Arial" w:hAnsi="Arial" w:cs="Arial"/>
          <w:b/>
          <w:bCs/>
          <w:sz w:val="22"/>
          <w:szCs w:val="22"/>
        </w:rPr>
        <w:t>publishing</w:t>
      </w:r>
      <w:r w:rsidRPr="00E619C8">
        <w:rPr>
          <w:rFonts w:ascii="Arial" w:eastAsia="Arial" w:hAnsi="Arial" w:cs="Arial"/>
          <w:b/>
          <w:bCs/>
          <w:sz w:val="22"/>
          <w:szCs w:val="22"/>
        </w:rPr>
        <w:t xml:space="preserve"> the information related to public infrastructure projects?</w:t>
      </w:r>
    </w:p>
    <w:p w14:paraId="057F71BE"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Yes</w:t>
      </w:r>
    </w:p>
    <w:p w14:paraId="053B2DE4"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No</w:t>
      </w:r>
    </w:p>
    <w:p w14:paraId="4A5C2938" w14:textId="77777777" w:rsidR="002033A5" w:rsidRPr="00E619C8" w:rsidRDefault="002033A5">
      <w:pPr>
        <w:spacing w:line="276" w:lineRule="auto"/>
        <w:rPr>
          <w:rFonts w:ascii="Arial" w:eastAsia="Arial" w:hAnsi="Arial" w:cs="Arial"/>
          <w:sz w:val="22"/>
          <w:szCs w:val="22"/>
        </w:rPr>
      </w:pPr>
    </w:p>
    <w:p w14:paraId="4CA61552"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If you answered yes, can you describe them and/or provide documentary evidence?</w:t>
      </w:r>
    </w:p>
    <w:p w14:paraId="1A8CCBAD"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If you answered no, can you describe why and/or provide evidence?</w:t>
      </w:r>
    </w:p>
    <w:p w14:paraId="266E5A01"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727FAE01" w14:textId="77777777" w:rsidR="002033A5" w:rsidRPr="00E619C8" w:rsidRDefault="002033A5">
      <w:pPr>
        <w:spacing w:line="276" w:lineRule="auto"/>
        <w:rPr>
          <w:rFonts w:ascii="Arial" w:eastAsia="Arial" w:hAnsi="Arial" w:cs="Arial"/>
          <w:sz w:val="22"/>
          <w:szCs w:val="22"/>
        </w:rPr>
      </w:pPr>
    </w:p>
    <w:p w14:paraId="27434DCE" w14:textId="3C8F162A"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 xml:space="preserve">4. Is there a document that contains a plan to reduce or eliminate the present limitations to </w:t>
      </w:r>
      <w:r w:rsidR="00232D2F">
        <w:rPr>
          <w:rFonts w:ascii="Arial" w:eastAsia="Arial" w:hAnsi="Arial" w:cs="Arial"/>
          <w:b/>
          <w:bCs/>
          <w:sz w:val="22"/>
          <w:szCs w:val="22"/>
        </w:rPr>
        <w:t>publishing infrastructure project</w:t>
      </w:r>
      <w:r w:rsidRPr="00E619C8">
        <w:rPr>
          <w:rFonts w:ascii="Arial" w:eastAsia="Arial" w:hAnsi="Arial" w:cs="Arial"/>
          <w:b/>
          <w:bCs/>
          <w:sz w:val="22"/>
          <w:szCs w:val="22"/>
        </w:rPr>
        <w:t xml:space="preserve"> information?</w:t>
      </w:r>
    </w:p>
    <w:p w14:paraId="5C0CB1D3"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no document with a mitigation plan</w:t>
      </w:r>
    </w:p>
    <w:p w14:paraId="6E0ECB42" w14:textId="24786274"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a plan</w:t>
      </w:r>
      <w:r w:rsidR="00232D2F">
        <w:rPr>
          <w:rFonts w:ascii="Arial" w:eastAsia="Arial" w:hAnsi="Arial" w:cs="Arial"/>
          <w:sz w:val="22"/>
          <w:szCs w:val="22"/>
        </w:rPr>
        <w:t>,</w:t>
      </w:r>
      <w:r w:rsidRPr="00E619C8">
        <w:rPr>
          <w:rFonts w:ascii="Arial" w:eastAsia="Arial" w:hAnsi="Arial" w:cs="Arial"/>
          <w:sz w:val="22"/>
          <w:szCs w:val="22"/>
        </w:rPr>
        <w:t xml:space="preserve"> but it is not comprehensive</w:t>
      </w:r>
      <w:r w:rsidR="00B26914">
        <w:rPr>
          <w:rFonts w:ascii="Arial" w:eastAsia="Arial" w:hAnsi="Arial" w:cs="Arial"/>
          <w:sz w:val="22"/>
          <w:szCs w:val="22"/>
        </w:rPr>
        <w:t>,</w:t>
      </w:r>
      <w:r w:rsidRPr="00E619C8">
        <w:rPr>
          <w:rFonts w:ascii="Arial" w:eastAsia="Arial" w:hAnsi="Arial" w:cs="Arial"/>
          <w:sz w:val="22"/>
          <w:szCs w:val="22"/>
        </w:rPr>
        <w:t xml:space="preserve"> and there is no evidence of its implementation</w:t>
      </w:r>
    </w:p>
    <w:p w14:paraId="48989A7D" w14:textId="4E91ABD8"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a non-comprehensive plan</w:t>
      </w:r>
      <w:r w:rsidR="00B26914">
        <w:rPr>
          <w:rFonts w:ascii="Arial" w:eastAsia="Arial" w:hAnsi="Arial" w:cs="Arial"/>
          <w:sz w:val="22"/>
          <w:szCs w:val="22"/>
        </w:rPr>
        <w:t>,</w:t>
      </w:r>
      <w:r w:rsidRPr="00E619C8">
        <w:rPr>
          <w:rFonts w:ascii="Arial" w:eastAsia="Arial" w:hAnsi="Arial" w:cs="Arial"/>
          <w:sz w:val="22"/>
          <w:szCs w:val="22"/>
        </w:rPr>
        <w:t xml:space="preserve"> but there is evidence of its implementation</w:t>
      </w:r>
    </w:p>
    <w:p w14:paraId="216B7C76" w14:textId="7594F6E0"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a comprehensive plan</w:t>
      </w:r>
      <w:r w:rsidR="00B26914">
        <w:rPr>
          <w:rFonts w:ascii="Arial" w:eastAsia="Arial" w:hAnsi="Arial" w:cs="Arial"/>
          <w:sz w:val="22"/>
          <w:szCs w:val="22"/>
        </w:rPr>
        <w:t>,</w:t>
      </w:r>
      <w:r w:rsidRPr="00E619C8">
        <w:rPr>
          <w:rFonts w:ascii="Arial" w:eastAsia="Arial" w:hAnsi="Arial" w:cs="Arial"/>
          <w:sz w:val="22"/>
          <w:szCs w:val="22"/>
        </w:rPr>
        <w:t xml:space="preserve"> but there is no evidence of its implementation</w:t>
      </w:r>
    </w:p>
    <w:p w14:paraId="3392868C" w14:textId="382162E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a comprehensive plan</w:t>
      </w:r>
      <w:r w:rsidR="002A1DFD">
        <w:rPr>
          <w:rFonts w:ascii="Arial" w:eastAsia="Arial" w:hAnsi="Arial" w:cs="Arial"/>
          <w:sz w:val="22"/>
          <w:szCs w:val="22"/>
        </w:rPr>
        <w:t>,</w:t>
      </w:r>
      <w:r w:rsidRPr="00E619C8">
        <w:rPr>
          <w:rFonts w:ascii="Arial" w:eastAsia="Arial" w:hAnsi="Arial" w:cs="Arial"/>
          <w:sz w:val="22"/>
          <w:szCs w:val="22"/>
        </w:rPr>
        <w:t xml:space="preserve"> and there is evidence of its implementation</w:t>
      </w:r>
    </w:p>
    <w:p w14:paraId="17406DDF" w14:textId="77777777" w:rsidR="002033A5" w:rsidRPr="00E619C8" w:rsidRDefault="002033A5">
      <w:pPr>
        <w:spacing w:line="276" w:lineRule="auto"/>
        <w:rPr>
          <w:rFonts w:ascii="Arial" w:eastAsia="Arial" w:hAnsi="Arial" w:cs="Arial"/>
          <w:sz w:val="22"/>
          <w:szCs w:val="22"/>
        </w:rPr>
      </w:pPr>
    </w:p>
    <w:p w14:paraId="1DC3C2A7"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7A0F54CF"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393588BA" w14:textId="77777777" w:rsidR="002033A5" w:rsidRPr="00E619C8" w:rsidRDefault="002033A5">
      <w:pPr>
        <w:spacing w:line="276" w:lineRule="auto"/>
        <w:rPr>
          <w:rFonts w:ascii="Arial" w:eastAsia="Arial" w:hAnsi="Arial" w:cs="Arial"/>
          <w:sz w:val="22"/>
          <w:szCs w:val="22"/>
        </w:rPr>
      </w:pPr>
    </w:p>
    <w:p w14:paraId="55CB2741" w14:textId="563B5689"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5. Does the process of proactive and reactive publication become slow or hindered because of internal bureaucracy, for example, by obtaining approvals from different bosses?</w:t>
      </w:r>
    </w:p>
    <w:p w14:paraId="6DADC0BA" w14:textId="281E833E"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 process is highly bureaucratic</w:t>
      </w:r>
      <w:r w:rsidR="002A1DFD">
        <w:rPr>
          <w:rFonts w:ascii="Arial" w:eastAsia="Arial" w:hAnsi="Arial" w:cs="Arial"/>
          <w:sz w:val="22"/>
          <w:szCs w:val="22"/>
        </w:rPr>
        <w:t>,</w:t>
      </w:r>
      <w:r w:rsidRPr="00E619C8">
        <w:rPr>
          <w:rFonts w:ascii="Arial" w:eastAsia="Arial" w:hAnsi="Arial" w:cs="Arial"/>
          <w:sz w:val="22"/>
          <w:szCs w:val="22"/>
        </w:rPr>
        <w:t xml:space="preserve"> or you do not know if it has </w:t>
      </w:r>
      <w:r w:rsidR="002A1DFD">
        <w:rPr>
          <w:rFonts w:ascii="Arial" w:eastAsia="Arial" w:hAnsi="Arial" w:cs="Arial"/>
          <w:sz w:val="22"/>
          <w:szCs w:val="22"/>
        </w:rPr>
        <w:t>these types</w:t>
      </w:r>
      <w:r w:rsidRPr="00E619C8">
        <w:rPr>
          <w:rFonts w:ascii="Arial" w:eastAsia="Arial" w:hAnsi="Arial" w:cs="Arial"/>
          <w:sz w:val="22"/>
          <w:szCs w:val="22"/>
        </w:rPr>
        <w:t xml:space="preserve"> of problems</w:t>
      </w:r>
    </w:p>
    <w:p w14:paraId="3DC790CA"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 bureaucratic obstacles are very few</w:t>
      </w:r>
    </w:p>
    <w:p w14:paraId="2C0A5A8B" w14:textId="406B6D5D"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There are no bureaucratic obstacles to </w:t>
      </w:r>
      <w:r w:rsidR="002A1DFD">
        <w:rPr>
          <w:rFonts w:ascii="Arial" w:eastAsia="Arial" w:hAnsi="Arial" w:cs="Arial"/>
          <w:sz w:val="22"/>
          <w:szCs w:val="22"/>
        </w:rPr>
        <w:t>publishing</w:t>
      </w:r>
      <w:r w:rsidRPr="00E619C8">
        <w:rPr>
          <w:rFonts w:ascii="Arial" w:eastAsia="Arial" w:hAnsi="Arial" w:cs="Arial"/>
          <w:sz w:val="22"/>
          <w:szCs w:val="22"/>
        </w:rPr>
        <w:t xml:space="preserve"> public information</w:t>
      </w:r>
    </w:p>
    <w:p w14:paraId="24405313" w14:textId="77777777" w:rsidR="002033A5" w:rsidRPr="00E619C8" w:rsidRDefault="002033A5">
      <w:pPr>
        <w:spacing w:line="276" w:lineRule="auto"/>
        <w:rPr>
          <w:rFonts w:ascii="Arial" w:eastAsia="Arial" w:hAnsi="Arial" w:cs="Arial"/>
          <w:sz w:val="22"/>
          <w:szCs w:val="22"/>
        </w:rPr>
      </w:pPr>
    </w:p>
    <w:p w14:paraId="52BFCBCE"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22FA77C1"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7DD0D963" w14:textId="77777777" w:rsidR="002033A5" w:rsidRPr="00E619C8" w:rsidRDefault="002033A5">
      <w:pPr>
        <w:spacing w:line="276" w:lineRule="auto"/>
        <w:rPr>
          <w:rFonts w:ascii="Arial" w:eastAsia="Arial" w:hAnsi="Arial" w:cs="Arial"/>
          <w:sz w:val="22"/>
          <w:szCs w:val="22"/>
        </w:rPr>
      </w:pPr>
    </w:p>
    <w:p w14:paraId="5030A699" w14:textId="43549C06"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 xml:space="preserve">6. Is there some type of documentation at the entity acknowledging and </w:t>
      </w:r>
      <w:r w:rsidR="002A1DFD">
        <w:rPr>
          <w:rFonts w:ascii="Arial" w:eastAsia="Arial" w:hAnsi="Arial" w:cs="Arial"/>
          <w:b/>
          <w:bCs/>
          <w:sz w:val="22"/>
          <w:szCs w:val="22"/>
        </w:rPr>
        <w:t>following up on</w:t>
      </w:r>
      <w:r w:rsidRPr="00E619C8">
        <w:rPr>
          <w:rFonts w:ascii="Arial" w:eastAsia="Arial" w:hAnsi="Arial" w:cs="Arial"/>
          <w:b/>
          <w:bCs/>
          <w:sz w:val="22"/>
          <w:szCs w:val="22"/>
        </w:rPr>
        <w:t xml:space="preserve"> non-compliances and sanctions dictated by controlling entities, due to non-compliance with the access-to-information and/or state contracts regulatory framework? </w:t>
      </w:r>
    </w:p>
    <w:p w14:paraId="75740A2E" w14:textId="77777777" w:rsidR="002033A5" w:rsidRPr="00E619C8" w:rsidRDefault="002033A5">
      <w:pPr>
        <w:spacing w:line="276" w:lineRule="auto"/>
        <w:rPr>
          <w:rFonts w:ascii="Arial" w:eastAsia="Arial" w:hAnsi="Arial" w:cs="Arial"/>
          <w:b/>
          <w:bCs/>
          <w:sz w:val="22"/>
          <w:szCs w:val="22"/>
        </w:rPr>
      </w:pPr>
    </w:p>
    <w:p w14:paraId="7FB7754D"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no documentation, or you do not know if there is</w:t>
      </w:r>
    </w:p>
    <w:p w14:paraId="3C1C0F12" w14:textId="56BC42AD"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documentation of non-compliance</w:t>
      </w:r>
      <w:r w:rsidR="002A1DFD">
        <w:rPr>
          <w:rFonts w:ascii="Arial" w:eastAsia="Arial" w:hAnsi="Arial" w:cs="Arial"/>
          <w:sz w:val="22"/>
          <w:szCs w:val="22"/>
        </w:rPr>
        <w:t>,</w:t>
      </w:r>
      <w:r w:rsidRPr="00E619C8">
        <w:rPr>
          <w:rFonts w:ascii="Arial" w:eastAsia="Arial" w:hAnsi="Arial" w:cs="Arial"/>
          <w:sz w:val="22"/>
          <w:szCs w:val="22"/>
        </w:rPr>
        <w:t xml:space="preserve"> but there is no documentation of the reaction or follow-up by the entity</w:t>
      </w:r>
    </w:p>
    <w:p w14:paraId="1B7B085F"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documentation of non-compliance, together with documentation of the reaction and follow-up by the entity</w:t>
      </w:r>
    </w:p>
    <w:p w14:paraId="59FCEE64"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You can demonstrate that the entity has not received sanctions from the control entities in the last year</w:t>
      </w:r>
    </w:p>
    <w:p w14:paraId="57524FEA" w14:textId="77777777" w:rsidR="002033A5" w:rsidRPr="00E619C8" w:rsidRDefault="002033A5">
      <w:pPr>
        <w:spacing w:line="276" w:lineRule="auto"/>
        <w:rPr>
          <w:rFonts w:ascii="Arial" w:eastAsia="Arial" w:hAnsi="Arial" w:cs="Arial"/>
          <w:sz w:val="22"/>
          <w:szCs w:val="22"/>
        </w:rPr>
      </w:pPr>
    </w:p>
    <w:p w14:paraId="0BD098D5"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5C83C82B"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46A2FA94" w14:textId="77777777" w:rsidR="002033A5" w:rsidRPr="00E619C8" w:rsidRDefault="002033A5">
      <w:pPr>
        <w:spacing w:line="276" w:lineRule="auto"/>
        <w:rPr>
          <w:rFonts w:ascii="Arial" w:eastAsia="Arial" w:hAnsi="Arial" w:cs="Arial"/>
          <w:sz w:val="22"/>
          <w:szCs w:val="22"/>
        </w:rPr>
      </w:pPr>
    </w:p>
    <w:p w14:paraId="17EA79B2" w14:textId="0C9085A7" w:rsidR="00DB063F" w:rsidRPr="00E619C8" w:rsidRDefault="00E113EC" w:rsidP="00DB063F">
      <w:pPr>
        <w:spacing w:before="240" w:after="240" w:line="276" w:lineRule="auto"/>
        <w:rPr>
          <w:rFonts w:ascii="Arial" w:eastAsia="Arial" w:hAnsi="Arial" w:cs="Arial"/>
          <w:b/>
          <w:bCs/>
        </w:rPr>
      </w:pPr>
      <w:bookmarkStart w:id="50" w:name="_heading=h.53u6x1r8gft9" w:colFirst="0" w:colLast="0"/>
      <w:bookmarkEnd w:id="50"/>
      <w:r w:rsidRPr="00E619C8">
        <w:rPr>
          <w:rFonts w:ascii="Arial" w:eastAsia="Arial" w:hAnsi="Arial" w:cs="Arial"/>
          <w:b/>
          <w:bCs/>
        </w:rPr>
        <w:t xml:space="preserve">Sub-variable 2.2.3: Control over infrastructure projects disclosure </w:t>
      </w:r>
    </w:p>
    <w:p w14:paraId="78AF1E22"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The 4 questions of this sub-variable are answered according to the amount of information on infrastructure projects that is proactively published. If you do not know or cannot identify the exact numbers, you can answer with approximate numbers.</w:t>
      </w:r>
    </w:p>
    <w:p w14:paraId="7123F02A" w14:textId="77777777" w:rsidR="002033A5" w:rsidRPr="00E619C8" w:rsidRDefault="002033A5">
      <w:pPr>
        <w:spacing w:line="276" w:lineRule="auto"/>
        <w:rPr>
          <w:rFonts w:ascii="Arial" w:eastAsia="Arial" w:hAnsi="Arial" w:cs="Arial"/>
          <w:sz w:val="22"/>
          <w:szCs w:val="22"/>
        </w:rPr>
      </w:pPr>
    </w:p>
    <w:p w14:paraId="0AC1782B" w14:textId="7E2BE30D"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1. How many public infrastructure projects are managed by the entity this year and in the previous year? (If the exact number is not known</w:t>
      </w:r>
      <w:r w:rsidR="002A1DFD">
        <w:rPr>
          <w:rFonts w:ascii="Arial" w:eastAsia="Arial" w:hAnsi="Arial" w:cs="Arial"/>
          <w:b/>
          <w:bCs/>
          <w:sz w:val="22"/>
          <w:szCs w:val="22"/>
        </w:rPr>
        <w:t>,</w:t>
      </w:r>
      <w:r w:rsidRPr="00E619C8">
        <w:rPr>
          <w:rFonts w:ascii="Arial" w:eastAsia="Arial" w:hAnsi="Arial" w:cs="Arial"/>
          <w:b/>
          <w:bCs/>
          <w:sz w:val="22"/>
          <w:szCs w:val="22"/>
        </w:rPr>
        <w:t xml:space="preserve"> a precise approximation is valid)</w:t>
      </w:r>
    </w:p>
    <w:p w14:paraId="3B2BB54E"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This year: </w:t>
      </w:r>
      <w:r w:rsidRPr="00E619C8">
        <w:rPr>
          <w:rFonts w:ascii="Arial" w:eastAsia="Arial" w:hAnsi="Arial" w:cs="Arial"/>
          <w:sz w:val="22"/>
          <w:szCs w:val="22"/>
        </w:rPr>
        <w:tab/>
      </w:r>
      <w:r w:rsidRPr="00E619C8">
        <w:rPr>
          <w:rFonts w:ascii="Arial" w:eastAsia="Arial" w:hAnsi="Arial" w:cs="Arial"/>
          <w:sz w:val="22"/>
          <w:szCs w:val="22"/>
        </w:rPr>
        <w:tab/>
        <w:t>______</w:t>
      </w:r>
    </w:p>
    <w:p w14:paraId="16D74735"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Previous year: </w:t>
      </w:r>
      <w:r w:rsidRPr="00E619C8">
        <w:rPr>
          <w:rFonts w:ascii="Arial" w:eastAsia="Arial" w:hAnsi="Arial" w:cs="Arial"/>
          <w:sz w:val="22"/>
          <w:szCs w:val="22"/>
        </w:rPr>
        <w:tab/>
        <w:t>______</w:t>
      </w:r>
    </w:p>
    <w:p w14:paraId="5BD375DF"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You cannot approximate a number</w:t>
      </w:r>
    </w:p>
    <w:p w14:paraId="5A5DE000" w14:textId="77777777" w:rsidR="002033A5" w:rsidRPr="00E619C8" w:rsidRDefault="002033A5">
      <w:pPr>
        <w:spacing w:line="276" w:lineRule="auto"/>
        <w:rPr>
          <w:rFonts w:ascii="Arial" w:eastAsia="Arial" w:hAnsi="Arial" w:cs="Arial"/>
          <w:sz w:val="22"/>
          <w:szCs w:val="22"/>
        </w:rPr>
      </w:pPr>
    </w:p>
    <w:p w14:paraId="5E6740BB"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1.1 How many of those projects disclosed information according to the infrastructure data standard (based on CoST IDS or OC4IDS)?</w:t>
      </w:r>
    </w:p>
    <w:p w14:paraId="3A2B32E1"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This year: </w:t>
      </w:r>
      <w:r w:rsidRPr="00E619C8">
        <w:rPr>
          <w:rFonts w:ascii="Arial" w:eastAsia="Arial" w:hAnsi="Arial" w:cs="Arial"/>
          <w:sz w:val="22"/>
          <w:szCs w:val="22"/>
        </w:rPr>
        <w:tab/>
      </w:r>
      <w:r w:rsidRPr="00E619C8">
        <w:rPr>
          <w:rFonts w:ascii="Arial" w:eastAsia="Arial" w:hAnsi="Arial" w:cs="Arial"/>
          <w:sz w:val="22"/>
          <w:szCs w:val="22"/>
        </w:rPr>
        <w:tab/>
        <w:t>______</w:t>
      </w:r>
    </w:p>
    <w:p w14:paraId="264BBFA0"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Previous year: </w:t>
      </w:r>
      <w:r w:rsidRPr="00E619C8">
        <w:rPr>
          <w:rFonts w:ascii="Arial" w:eastAsia="Arial" w:hAnsi="Arial" w:cs="Arial"/>
          <w:sz w:val="22"/>
          <w:szCs w:val="22"/>
        </w:rPr>
        <w:tab/>
        <w:t>______</w:t>
      </w:r>
    </w:p>
    <w:p w14:paraId="43032774" w14:textId="6ED05F56"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You cannot approximate a number</w:t>
      </w:r>
      <w:r w:rsidR="002A1DFD">
        <w:rPr>
          <w:rFonts w:ascii="Arial" w:eastAsia="Arial" w:hAnsi="Arial" w:cs="Arial"/>
          <w:sz w:val="22"/>
          <w:szCs w:val="22"/>
        </w:rPr>
        <w:t>,</w:t>
      </w:r>
      <w:r w:rsidRPr="00E619C8">
        <w:rPr>
          <w:rFonts w:ascii="Arial" w:eastAsia="Arial" w:hAnsi="Arial" w:cs="Arial"/>
          <w:sz w:val="22"/>
          <w:szCs w:val="22"/>
        </w:rPr>
        <w:t xml:space="preserve"> or you do not know the data standard </w:t>
      </w:r>
    </w:p>
    <w:p w14:paraId="6B0D6E2C" w14:textId="77777777" w:rsidR="002033A5" w:rsidRPr="00E619C8" w:rsidRDefault="002033A5">
      <w:pPr>
        <w:spacing w:line="276" w:lineRule="auto"/>
        <w:rPr>
          <w:rFonts w:ascii="Arial" w:eastAsia="Arial" w:hAnsi="Arial" w:cs="Arial"/>
          <w:sz w:val="22"/>
          <w:szCs w:val="22"/>
        </w:rPr>
      </w:pPr>
    </w:p>
    <w:p w14:paraId="7D487070"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5F0E6C73"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47636A0B" w14:textId="77777777" w:rsidR="002033A5" w:rsidRPr="00E619C8" w:rsidRDefault="002033A5">
      <w:pPr>
        <w:spacing w:line="276" w:lineRule="auto"/>
        <w:rPr>
          <w:rFonts w:ascii="Arial" w:eastAsia="Arial" w:hAnsi="Arial" w:cs="Arial"/>
          <w:sz w:val="22"/>
          <w:szCs w:val="22"/>
        </w:rPr>
      </w:pPr>
    </w:p>
    <w:p w14:paraId="4BE801E9" w14:textId="7B092E2E"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2. What is the investment amount for infrastructure projects managed by the entity in this year and in the previous year? (If the exact number is not known</w:t>
      </w:r>
      <w:r w:rsidR="002A1DFD">
        <w:rPr>
          <w:rFonts w:ascii="Arial" w:eastAsia="Arial" w:hAnsi="Arial" w:cs="Arial"/>
          <w:b/>
          <w:bCs/>
          <w:sz w:val="22"/>
          <w:szCs w:val="22"/>
        </w:rPr>
        <w:t>,</w:t>
      </w:r>
      <w:r w:rsidRPr="00E619C8">
        <w:rPr>
          <w:rFonts w:ascii="Arial" w:eastAsia="Arial" w:hAnsi="Arial" w:cs="Arial"/>
          <w:b/>
          <w:bCs/>
          <w:sz w:val="22"/>
          <w:szCs w:val="22"/>
        </w:rPr>
        <w:t xml:space="preserve"> a precise approximation is valid)</w:t>
      </w:r>
    </w:p>
    <w:p w14:paraId="1E9E2049"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This year: </w:t>
      </w:r>
      <w:r w:rsidRPr="00E619C8">
        <w:rPr>
          <w:rFonts w:ascii="Arial" w:eastAsia="Arial" w:hAnsi="Arial" w:cs="Arial"/>
          <w:sz w:val="22"/>
          <w:szCs w:val="22"/>
        </w:rPr>
        <w:tab/>
      </w:r>
      <w:r w:rsidRPr="00E619C8">
        <w:rPr>
          <w:rFonts w:ascii="Arial" w:eastAsia="Arial" w:hAnsi="Arial" w:cs="Arial"/>
          <w:sz w:val="22"/>
          <w:szCs w:val="22"/>
        </w:rPr>
        <w:tab/>
        <w:t>______</w:t>
      </w:r>
    </w:p>
    <w:p w14:paraId="334965CA"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Previous year: </w:t>
      </w:r>
      <w:r w:rsidRPr="00E619C8">
        <w:rPr>
          <w:rFonts w:ascii="Arial" w:eastAsia="Arial" w:hAnsi="Arial" w:cs="Arial"/>
          <w:sz w:val="22"/>
          <w:szCs w:val="22"/>
        </w:rPr>
        <w:tab/>
        <w:t>______</w:t>
      </w:r>
    </w:p>
    <w:p w14:paraId="21D2C4FC"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You cannot approximate a number</w:t>
      </w:r>
    </w:p>
    <w:p w14:paraId="2DDBBFC7" w14:textId="77777777" w:rsidR="002033A5" w:rsidRPr="00E619C8" w:rsidRDefault="002033A5">
      <w:pPr>
        <w:spacing w:line="276" w:lineRule="auto"/>
        <w:rPr>
          <w:rFonts w:ascii="Arial" w:eastAsia="Arial" w:hAnsi="Arial" w:cs="Arial"/>
          <w:sz w:val="22"/>
          <w:szCs w:val="22"/>
        </w:rPr>
      </w:pPr>
    </w:p>
    <w:p w14:paraId="62591307"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2.1 What is the investment amount of those projects in which information is disclosed according to the infrastructure data standard (based on CoST IDS or OC4IDS)?</w:t>
      </w:r>
    </w:p>
    <w:p w14:paraId="0E3BD64D"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This year: </w:t>
      </w:r>
      <w:r w:rsidRPr="00E619C8">
        <w:rPr>
          <w:rFonts w:ascii="Arial" w:eastAsia="Arial" w:hAnsi="Arial" w:cs="Arial"/>
          <w:sz w:val="22"/>
          <w:szCs w:val="22"/>
        </w:rPr>
        <w:tab/>
      </w:r>
      <w:r w:rsidRPr="00E619C8">
        <w:rPr>
          <w:rFonts w:ascii="Arial" w:eastAsia="Arial" w:hAnsi="Arial" w:cs="Arial"/>
          <w:sz w:val="22"/>
          <w:szCs w:val="22"/>
        </w:rPr>
        <w:tab/>
        <w:t>______</w:t>
      </w:r>
    </w:p>
    <w:p w14:paraId="28990AE3"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Previous year: </w:t>
      </w:r>
      <w:r w:rsidRPr="00E619C8">
        <w:rPr>
          <w:rFonts w:ascii="Arial" w:eastAsia="Arial" w:hAnsi="Arial" w:cs="Arial"/>
          <w:sz w:val="22"/>
          <w:szCs w:val="22"/>
        </w:rPr>
        <w:tab/>
        <w:t>______</w:t>
      </w:r>
    </w:p>
    <w:p w14:paraId="124361D0" w14:textId="06845218"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You cannot approximate a number</w:t>
      </w:r>
      <w:r w:rsidR="002A1DFD">
        <w:rPr>
          <w:rFonts w:ascii="Arial" w:eastAsia="Arial" w:hAnsi="Arial" w:cs="Arial"/>
          <w:sz w:val="22"/>
          <w:szCs w:val="22"/>
        </w:rPr>
        <w:t>,</w:t>
      </w:r>
      <w:r w:rsidRPr="00E619C8">
        <w:rPr>
          <w:rFonts w:ascii="Arial" w:eastAsia="Arial" w:hAnsi="Arial" w:cs="Arial"/>
          <w:sz w:val="22"/>
          <w:szCs w:val="22"/>
        </w:rPr>
        <w:t xml:space="preserve"> or you do not know the data standard </w:t>
      </w:r>
    </w:p>
    <w:p w14:paraId="3E0C16A5" w14:textId="77777777" w:rsidR="002033A5" w:rsidRPr="00E619C8" w:rsidRDefault="002033A5">
      <w:pPr>
        <w:spacing w:line="276" w:lineRule="auto"/>
        <w:rPr>
          <w:rFonts w:ascii="Arial" w:eastAsia="Arial" w:hAnsi="Arial" w:cs="Arial"/>
          <w:sz w:val="22"/>
          <w:szCs w:val="22"/>
        </w:rPr>
      </w:pPr>
    </w:p>
    <w:p w14:paraId="70CD869D"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5D78DAE3" w14:textId="78BB1238" w:rsidR="002033A5" w:rsidRPr="00E619C8" w:rsidRDefault="00E113EC" w:rsidP="00DB063F">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bookmarkStart w:id="51" w:name="_heading=h.if5kvv9jdzz5" w:colFirst="0" w:colLast="0"/>
      <w:bookmarkEnd w:id="51"/>
    </w:p>
    <w:p w14:paraId="7132A1E6" w14:textId="77777777" w:rsidR="00DB063F" w:rsidRPr="00E619C8" w:rsidRDefault="00DB063F" w:rsidP="00DB063F">
      <w:pPr>
        <w:spacing w:line="276" w:lineRule="auto"/>
        <w:rPr>
          <w:rFonts w:ascii="Arial" w:eastAsia="Arial" w:hAnsi="Arial" w:cs="Arial"/>
          <w:sz w:val="22"/>
          <w:szCs w:val="22"/>
        </w:rPr>
      </w:pPr>
    </w:p>
    <w:p w14:paraId="00722A4F" w14:textId="77777777" w:rsidR="002033A5" w:rsidRPr="00E619C8" w:rsidRDefault="00E113EC" w:rsidP="00DB063F">
      <w:pPr>
        <w:spacing w:before="240" w:after="240" w:line="276" w:lineRule="auto"/>
        <w:rPr>
          <w:rFonts w:ascii="Arial" w:eastAsia="Arial" w:hAnsi="Arial" w:cs="Arial"/>
          <w:b/>
          <w:bCs/>
          <w:color w:val="C00000"/>
        </w:rPr>
      </w:pPr>
      <w:bookmarkStart w:id="52" w:name="_heading=h.mwocvm5rg23h" w:colFirst="0" w:colLast="0"/>
      <w:bookmarkEnd w:id="52"/>
      <w:r w:rsidRPr="00E619C8">
        <w:rPr>
          <w:rFonts w:ascii="Arial" w:eastAsia="Arial" w:hAnsi="Arial" w:cs="Arial"/>
          <w:b/>
          <w:bCs/>
          <w:color w:val="C00000"/>
        </w:rPr>
        <w:t xml:space="preserve">Variable 3.1: Citizen participation </w:t>
      </w:r>
    </w:p>
    <w:p w14:paraId="36CDC522" w14:textId="77777777" w:rsidR="002033A5" w:rsidRPr="00E619C8" w:rsidRDefault="00E113EC" w:rsidP="00DB063F">
      <w:pPr>
        <w:spacing w:before="240" w:after="240" w:line="276" w:lineRule="auto"/>
        <w:rPr>
          <w:rFonts w:ascii="Arial" w:eastAsia="Arial" w:hAnsi="Arial" w:cs="Arial"/>
          <w:b/>
          <w:bCs/>
        </w:rPr>
      </w:pPr>
      <w:bookmarkStart w:id="53" w:name="_heading=h.y4v8od2s1cjn" w:colFirst="0" w:colLast="0"/>
      <w:bookmarkEnd w:id="53"/>
      <w:r w:rsidRPr="00E619C8">
        <w:rPr>
          <w:rFonts w:ascii="Arial" w:eastAsia="Arial" w:hAnsi="Arial" w:cs="Arial"/>
          <w:b/>
          <w:bCs/>
        </w:rPr>
        <w:t xml:space="preserve">Sub-variable 3.1.1: Participation opportunities </w:t>
      </w:r>
    </w:p>
    <w:p w14:paraId="0F10782E"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The 6 questions of this sub-variable are answered according to the entity's documentation and according to how the different consulted aspects work in practice.</w:t>
      </w:r>
    </w:p>
    <w:p w14:paraId="05DF3EF4" w14:textId="77777777" w:rsidR="002033A5" w:rsidRPr="00E619C8" w:rsidRDefault="002033A5">
      <w:pPr>
        <w:spacing w:line="276" w:lineRule="auto"/>
        <w:rPr>
          <w:rFonts w:ascii="Arial" w:eastAsia="Arial" w:hAnsi="Arial" w:cs="Arial"/>
          <w:sz w:val="22"/>
          <w:szCs w:val="22"/>
        </w:rPr>
      </w:pPr>
    </w:p>
    <w:p w14:paraId="607EB9A1" w14:textId="77777777"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1. Is there a regulatory framework that requires formal spaces for citizen participation that allow the entity to listen and implement citizen requests in public infrastructure projects?</w:t>
      </w:r>
    </w:p>
    <w:p w14:paraId="78A44F05"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There are no laws, regulations or policies that can serve as a basis for citizen participation </w:t>
      </w:r>
    </w:p>
    <w:p w14:paraId="5278647B"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There is only a national or subnational regulatory framework for participation, without an internal regulatory framework (generated by the entity) </w:t>
      </w:r>
    </w:p>
    <w:p w14:paraId="6FB3B1A6" w14:textId="79B6BEF3"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There are both external (national) and internal (generated by the entity) regulatory frameworks </w:t>
      </w:r>
    </w:p>
    <w:p w14:paraId="5BB32DE1" w14:textId="6B48F768"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are external and internal regulatory frameworks, as well as documented procedures in the entity</w:t>
      </w:r>
      <w:r w:rsidR="002A1DFD">
        <w:rPr>
          <w:rFonts w:ascii="Arial" w:eastAsia="Arial" w:hAnsi="Arial" w:cs="Arial"/>
          <w:sz w:val="22"/>
          <w:szCs w:val="22"/>
        </w:rPr>
        <w:t>,</w:t>
      </w:r>
      <w:r w:rsidRPr="00E619C8">
        <w:rPr>
          <w:rFonts w:ascii="Arial" w:eastAsia="Arial" w:hAnsi="Arial" w:cs="Arial"/>
          <w:sz w:val="22"/>
          <w:szCs w:val="22"/>
        </w:rPr>
        <w:t xml:space="preserve"> that are efficient for citizen participation</w:t>
      </w:r>
    </w:p>
    <w:p w14:paraId="03F40541" w14:textId="77777777" w:rsidR="002033A5" w:rsidRPr="00E619C8" w:rsidRDefault="002033A5">
      <w:pPr>
        <w:spacing w:line="276" w:lineRule="auto"/>
        <w:rPr>
          <w:rFonts w:ascii="Arial" w:eastAsia="Arial" w:hAnsi="Arial" w:cs="Arial"/>
          <w:sz w:val="22"/>
          <w:szCs w:val="22"/>
        </w:rPr>
      </w:pPr>
    </w:p>
    <w:p w14:paraId="437A5366"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46DE4027"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574FF8AD" w14:textId="77777777" w:rsidR="002033A5" w:rsidRPr="00E619C8" w:rsidRDefault="002033A5">
      <w:pPr>
        <w:spacing w:line="276" w:lineRule="auto"/>
        <w:rPr>
          <w:rFonts w:ascii="Arial" w:eastAsia="Arial" w:hAnsi="Arial" w:cs="Arial"/>
          <w:sz w:val="22"/>
          <w:szCs w:val="22"/>
        </w:rPr>
      </w:pPr>
    </w:p>
    <w:p w14:paraId="3203DCE4" w14:textId="5BF01D63"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2. Are the spaces for citizen participation (and instruments) permanently available</w:t>
      </w:r>
      <w:r w:rsidR="002A1DFD">
        <w:rPr>
          <w:rFonts w:ascii="Arial" w:eastAsia="Arial" w:hAnsi="Arial" w:cs="Arial"/>
          <w:b/>
          <w:bCs/>
          <w:sz w:val="22"/>
          <w:szCs w:val="22"/>
        </w:rPr>
        <w:t>,</w:t>
      </w:r>
      <w:r w:rsidRPr="00E619C8">
        <w:rPr>
          <w:rFonts w:ascii="Arial" w:eastAsia="Arial" w:hAnsi="Arial" w:cs="Arial"/>
          <w:b/>
          <w:bCs/>
          <w:sz w:val="22"/>
          <w:szCs w:val="22"/>
        </w:rPr>
        <w:t xml:space="preserve"> or are they available with constant periodicity through a variety of inclusive channels (such as digital and non-digital), which can be used for public infrastructure projects?</w:t>
      </w:r>
    </w:p>
    <w:p w14:paraId="593DDAB6"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There are no formal opportunities for participation </w:t>
      </w:r>
    </w:p>
    <w:p w14:paraId="34FC67B0"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There are opportunities for participation, but they are not permanent and are not available through a variety of inclusive channels </w:t>
      </w:r>
    </w:p>
    <w:p w14:paraId="5222902C"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Participation opportunities are permanent or are available through a variety of inclusive channels (only fulfilling one of the two conditions) </w:t>
      </w:r>
    </w:p>
    <w:p w14:paraId="1301BB88"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Participation opportunities are permanent and available through different inclusive participation channels</w:t>
      </w:r>
    </w:p>
    <w:p w14:paraId="44841830" w14:textId="77777777" w:rsidR="002033A5" w:rsidRPr="00E619C8" w:rsidRDefault="002033A5">
      <w:pPr>
        <w:spacing w:line="276" w:lineRule="auto"/>
        <w:rPr>
          <w:rFonts w:ascii="Arial" w:eastAsia="Arial" w:hAnsi="Arial" w:cs="Arial"/>
          <w:sz w:val="22"/>
          <w:szCs w:val="22"/>
        </w:rPr>
      </w:pPr>
    </w:p>
    <w:p w14:paraId="1AA0C3BB"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24818BB1"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18D8C5F7" w14:textId="77777777" w:rsidR="002033A5" w:rsidRPr="00E619C8" w:rsidRDefault="002033A5">
      <w:pPr>
        <w:spacing w:line="276" w:lineRule="auto"/>
        <w:rPr>
          <w:rFonts w:ascii="Arial" w:eastAsia="Arial" w:hAnsi="Arial" w:cs="Arial"/>
          <w:sz w:val="22"/>
          <w:szCs w:val="22"/>
        </w:rPr>
      </w:pPr>
    </w:p>
    <w:p w14:paraId="4F2F6534" w14:textId="457A514E"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 xml:space="preserve">3. Does the entity conduct formal citizen consultation processes to identify, define, </w:t>
      </w:r>
      <w:r w:rsidR="00A64FCE">
        <w:rPr>
          <w:rFonts w:ascii="Arial" w:eastAsia="Arial" w:hAnsi="Arial" w:cs="Arial"/>
          <w:b/>
          <w:bCs/>
          <w:sz w:val="22"/>
          <w:szCs w:val="22"/>
        </w:rPr>
        <w:t>prioritise,</w:t>
      </w:r>
      <w:r w:rsidRPr="00E619C8">
        <w:rPr>
          <w:rFonts w:ascii="Arial" w:eastAsia="Arial" w:hAnsi="Arial" w:cs="Arial"/>
          <w:b/>
          <w:bCs/>
          <w:sz w:val="22"/>
          <w:szCs w:val="22"/>
        </w:rPr>
        <w:t xml:space="preserve"> and monitor public infrastructure projects?</w:t>
      </w:r>
    </w:p>
    <w:p w14:paraId="684A58E0"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 entity does not carry out these consultation processes in infrastructure projects, or you are not sure if they are carried out </w:t>
      </w:r>
    </w:p>
    <w:p w14:paraId="0740732D" w14:textId="3E0EBF1F"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 entity consults on infrastructure projects, but does not do </w:t>
      </w:r>
      <w:r w:rsidR="00A64FCE">
        <w:rPr>
          <w:rFonts w:ascii="Arial" w:eastAsia="Arial" w:hAnsi="Arial" w:cs="Arial"/>
          <w:sz w:val="22"/>
          <w:szCs w:val="22"/>
        </w:rPr>
        <w:t>so</w:t>
      </w:r>
      <w:r w:rsidRPr="00E619C8">
        <w:rPr>
          <w:rFonts w:ascii="Arial" w:eastAsia="Arial" w:hAnsi="Arial" w:cs="Arial"/>
          <w:sz w:val="22"/>
          <w:szCs w:val="22"/>
        </w:rPr>
        <w:t xml:space="preserve"> in all project stages, nor all its infrastructure projects </w:t>
      </w:r>
    </w:p>
    <w:p w14:paraId="4E8F4B1B" w14:textId="00DF1C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 entity consults on infrastructure projects at all project stages, but it does not do </w:t>
      </w:r>
      <w:r w:rsidR="00A64FCE">
        <w:rPr>
          <w:rFonts w:ascii="Arial" w:eastAsia="Arial" w:hAnsi="Arial" w:cs="Arial"/>
          <w:sz w:val="22"/>
          <w:szCs w:val="22"/>
        </w:rPr>
        <w:t>so</w:t>
      </w:r>
      <w:r w:rsidRPr="00E619C8">
        <w:rPr>
          <w:rFonts w:ascii="Arial" w:eastAsia="Arial" w:hAnsi="Arial" w:cs="Arial"/>
          <w:sz w:val="22"/>
          <w:szCs w:val="22"/>
        </w:rPr>
        <w:t xml:space="preserve"> in all infrastructure projects, or the opposite (in all projects but not in all stages)</w:t>
      </w:r>
    </w:p>
    <w:p w14:paraId="6A4128C4" w14:textId="52CF16A4"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 citizen consultation is conducted in all stages of the infrastructure projects and </w:t>
      </w:r>
      <w:r w:rsidR="00A64FCE">
        <w:rPr>
          <w:rFonts w:ascii="Arial" w:eastAsia="Arial" w:hAnsi="Arial" w:cs="Arial"/>
          <w:sz w:val="22"/>
          <w:szCs w:val="22"/>
        </w:rPr>
        <w:t>for</w:t>
      </w:r>
      <w:r w:rsidRPr="00E619C8">
        <w:rPr>
          <w:rFonts w:ascii="Arial" w:eastAsia="Arial" w:hAnsi="Arial" w:cs="Arial"/>
          <w:sz w:val="22"/>
          <w:szCs w:val="22"/>
        </w:rPr>
        <w:t xml:space="preserve"> all infrastructure projects</w:t>
      </w:r>
    </w:p>
    <w:p w14:paraId="60C5DEDD" w14:textId="77777777" w:rsidR="002033A5" w:rsidRPr="00E619C8" w:rsidRDefault="002033A5">
      <w:pPr>
        <w:spacing w:line="276" w:lineRule="auto"/>
        <w:rPr>
          <w:rFonts w:ascii="Arial" w:eastAsia="Arial" w:hAnsi="Arial" w:cs="Arial"/>
          <w:sz w:val="22"/>
          <w:szCs w:val="22"/>
        </w:rPr>
      </w:pPr>
    </w:p>
    <w:p w14:paraId="2203A133"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004BDE00"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79904983" w14:textId="77777777" w:rsidR="002033A5" w:rsidRPr="00E619C8" w:rsidRDefault="002033A5">
      <w:pPr>
        <w:spacing w:line="276" w:lineRule="auto"/>
        <w:rPr>
          <w:rFonts w:ascii="Arial" w:eastAsia="Arial" w:hAnsi="Arial" w:cs="Arial"/>
          <w:sz w:val="22"/>
          <w:szCs w:val="22"/>
        </w:rPr>
      </w:pPr>
    </w:p>
    <w:p w14:paraId="2F612A8B" w14:textId="77777777"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4. Is there in the entity an office for citizen service (called the Transparency Office, Complaints Office, Information Office, etc.) that can see, online and offline, subjects related to infrastructure projects?</w:t>
      </w:r>
    </w:p>
    <w:p w14:paraId="3DA9D343" w14:textId="5B02D9F9"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no office</w:t>
      </w:r>
      <w:r w:rsidR="00A64FCE">
        <w:rPr>
          <w:rFonts w:ascii="Arial" w:eastAsia="Arial" w:hAnsi="Arial" w:cs="Arial"/>
          <w:sz w:val="22"/>
          <w:szCs w:val="22"/>
        </w:rPr>
        <w:t>,</w:t>
      </w:r>
      <w:r w:rsidRPr="00E619C8">
        <w:rPr>
          <w:rFonts w:ascii="Arial" w:eastAsia="Arial" w:hAnsi="Arial" w:cs="Arial"/>
          <w:sz w:val="22"/>
          <w:szCs w:val="22"/>
        </w:rPr>
        <w:t xml:space="preserve"> or you do not know if there is one</w:t>
      </w:r>
    </w:p>
    <w:p w14:paraId="371A9718" w14:textId="48D53089"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one</w:t>
      </w:r>
      <w:r w:rsidR="00A64FCE">
        <w:rPr>
          <w:rFonts w:ascii="Arial" w:eastAsia="Arial" w:hAnsi="Arial" w:cs="Arial"/>
          <w:sz w:val="22"/>
          <w:szCs w:val="22"/>
        </w:rPr>
        <w:t>,</w:t>
      </w:r>
      <w:r w:rsidRPr="00E619C8">
        <w:rPr>
          <w:rFonts w:ascii="Arial" w:eastAsia="Arial" w:hAnsi="Arial" w:cs="Arial"/>
          <w:sz w:val="22"/>
          <w:szCs w:val="22"/>
        </w:rPr>
        <w:t xml:space="preserve"> but </w:t>
      </w:r>
      <w:r w:rsidR="00A64FCE">
        <w:rPr>
          <w:rFonts w:ascii="Arial" w:eastAsia="Arial" w:hAnsi="Arial" w:cs="Arial"/>
          <w:sz w:val="22"/>
          <w:szCs w:val="22"/>
        </w:rPr>
        <w:t xml:space="preserve">it </w:t>
      </w:r>
      <w:r w:rsidRPr="00E619C8">
        <w:rPr>
          <w:rFonts w:ascii="Arial" w:eastAsia="Arial" w:hAnsi="Arial" w:cs="Arial"/>
          <w:sz w:val="22"/>
          <w:szCs w:val="22"/>
        </w:rPr>
        <w:t xml:space="preserve">has limitations to do its job (e.g. it only works offline) </w:t>
      </w:r>
    </w:p>
    <w:p w14:paraId="122340D3" w14:textId="693FCBB2"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There is one </w:t>
      </w:r>
      <w:r w:rsidR="00A64FCE">
        <w:rPr>
          <w:rFonts w:ascii="Arial" w:eastAsia="Arial" w:hAnsi="Arial" w:cs="Arial"/>
          <w:sz w:val="22"/>
          <w:szCs w:val="22"/>
        </w:rPr>
        <w:t>who</w:t>
      </w:r>
      <w:r w:rsidRPr="00E619C8">
        <w:rPr>
          <w:rFonts w:ascii="Arial" w:eastAsia="Arial" w:hAnsi="Arial" w:cs="Arial"/>
          <w:sz w:val="22"/>
          <w:szCs w:val="22"/>
        </w:rPr>
        <w:t xml:space="preserve"> efficiently attends </w:t>
      </w:r>
      <w:r w:rsidR="00A64FCE">
        <w:rPr>
          <w:rFonts w:ascii="Arial" w:eastAsia="Arial" w:hAnsi="Arial" w:cs="Arial"/>
          <w:sz w:val="22"/>
          <w:szCs w:val="22"/>
        </w:rPr>
        <w:t xml:space="preserve">to </w:t>
      </w:r>
      <w:r w:rsidRPr="00E619C8">
        <w:rPr>
          <w:rFonts w:ascii="Arial" w:eastAsia="Arial" w:hAnsi="Arial" w:cs="Arial"/>
          <w:sz w:val="22"/>
          <w:szCs w:val="22"/>
        </w:rPr>
        <w:t>the citizens</w:t>
      </w:r>
    </w:p>
    <w:p w14:paraId="6D7A8E9B" w14:textId="77777777" w:rsidR="002033A5" w:rsidRPr="00E619C8" w:rsidRDefault="002033A5">
      <w:pPr>
        <w:spacing w:line="276" w:lineRule="auto"/>
        <w:rPr>
          <w:rFonts w:ascii="Arial" w:eastAsia="Arial" w:hAnsi="Arial" w:cs="Arial"/>
          <w:sz w:val="22"/>
          <w:szCs w:val="22"/>
        </w:rPr>
      </w:pPr>
    </w:p>
    <w:p w14:paraId="11BDB3BE"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35A53500"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1DEF0496" w14:textId="77777777" w:rsidR="002033A5" w:rsidRPr="00E619C8" w:rsidRDefault="002033A5">
      <w:pPr>
        <w:spacing w:line="276" w:lineRule="auto"/>
        <w:rPr>
          <w:rFonts w:ascii="Arial" w:eastAsia="Arial" w:hAnsi="Arial" w:cs="Arial"/>
          <w:sz w:val="22"/>
          <w:szCs w:val="22"/>
        </w:rPr>
      </w:pPr>
    </w:p>
    <w:p w14:paraId="758FC22F" w14:textId="77777777"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5. Is there an online engagement form through which any person may request information, ask questions, present a complaint or a recommendation referring to an infrastructure project, and receive an effective response?</w:t>
      </w:r>
    </w:p>
    <w:p w14:paraId="27198128" w14:textId="7007F6E4"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no online form, or there is one</w:t>
      </w:r>
      <w:r w:rsidR="00A64FCE">
        <w:rPr>
          <w:rFonts w:ascii="Arial" w:eastAsia="Arial" w:hAnsi="Arial" w:cs="Arial"/>
          <w:sz w:val="22"/>
          <w:szCs w:val="22"/>
        </w:rPr>
        <w:t>,</w:t>
      </w:r>
      <w:r w:rsidRPr="00E619C8">
        <w:rPr>
          <w:rFonts w:ascii="Arial" w:eastAsia="Arial" w:hAnsi="Arial" w:cs="Arial"/>
          <w:sz w:val="22"/>
          <w:szCs w:val="22"/>
        </w:rPr>
        <w:t xml:space="preserve"> but it does not work</w:t>
      </w:r>
    </w:p>
    <w:p w14:paraId="187CAD95" w14:textId="56BA530D"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one</w:t>
      </w:r>
      <w:r w:rsidR="00A64FCE">
        <w:rPr>
          <w:rFonts w:ascii="Arial" w:eastAsia="Arial" w:hAnsi="Arial" w:cs="Arial"/>
          <w:sz w:val="22"/>
          <w:szCs w:val="22"/>
        </w:rPr>
        <w:t>,</w:t>
      </w:r>
      <w:r w:rsidRPr="00E619C8">
        <w:rPr>
          <w:rFonts w:ascii="Arial" w:eastAsia="Arial" w:hAnsi="Arial" w:cs="Arial"/>
          <w:sz w:val="22"/>
          <w:szCs w:val="22"/>
        </w:rPr>
        <w:t xml:space="preserve"> but </w:t>
      </w:r>
      <w:r w:rsidR="00A64FCE">
        <w:rPr>
          <w:rFonts w:ascii="Arial" w:eastAsia="Arial" w:hAnsi="Arial" w:cs="Arial"/>
          <w:sz w:val="22"/>
          <w:szCs w:val="22"/>
        </w:rPr>
        <w:t xml:space="preserve">it </w:t>
      </w:r>
      <w:r w:rsidRPr="00E619C8">
        <w:rPr>
          <w:rFonts w:ascii="Arial" w:eastAsia="Arial" w:hAnsi="Arial" w:cs="Arial"/>
          <w:sz w:val="22"/>
          <w:szCs w:val="22"/>
        </w:rPr>
        <w:t>has to be downloaded, printed, completed, scanned and submitted or physically taken to the entity</w:t>
      </w:r>
    </w:p>
    <w:p w14:paraId="021BDCA3"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one, but it has no follow-up mechanism (this mechanism allows the applicant to later identify his/her request, such as a request ID number)</w:t>
      </w:r>
    </w:p>
    <w:p w14:paraId="01EC12D7" w14:textId="44156EA9"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There is one and </w:t>
      </w:r>
      <w:r w:rsidR="00A64FCE">
        <w:rPr>
          <w:rFonts w:ascii="Arial" w:eastAsia="Arial" w:hAnsi="Arial" w:cs="Arial"/>
          <w:sz w:val="22"/>
          <w:szCs w:val="22"/>
        </w:rPr>
        <w:t xml:space="preserve">it </w:t>
      </w:r>
      <w:r w:rsidRPr="00E619C8">
        <w:rPr>
          <w:rFonts w:ascii="Arial" w:eastAsia="Arial" w:hAnsi="Arial" w:cs="Arial"/>
          <w:sz w:val="22"/>
          <w:szCs w:val="22"/>
        </w:rPr>
        <w:t>has a specific follow-up mechanism for the applicant</w:t>
      </w:r>
    </w:p>
    <w:p w14:paraId="589B695E" w14:textId="77777777" w:rsidR="002033A5" w:rsidRPr="00E619C8" w:rsidRDefault="002033A5">
      <w:pPr>
        <w:spacing w:line="276" w:lineRule="auto"/>
        <w:rPr>
          <w:rFonts w:ascii="Arial" w:eastAsia="Arial" w:hAnsi="Arial" w:cs="Arial"/>
          <w:sz w:val="22"/>
          <w:szCs w:val="22"/>
        </w:rPr>
      </w:pPr>
    </w:p>
    <w:p w14:paraId="5D2632E1"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1D7ABDFA"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08D6EA4D" w14:textId="77777777" w:rsidR="002033A5" w:rsidRPr="00E619C8" w:rsidRDefault="002033A5">
      <w:pPr>
        <w:spacing w:line="276" w:lineRule="auto"/>
        <w:rPr>
          <w:rFonts w:ascii="Arial" w:eastAsia="Arial" w:hAnsi="Arial" w:cs="Arial"/>
          <w:sz w:val="22"/>
          <w:szCs w:val="22"/>
        </w:rPr>
      </w:pPr>
    </w:p>
    <w:p w14:paraId="37E75494" w14:textId="77777777"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6. Does the entity conduct any type of effort for the citizens to know the existing participation opportunities and the availability of information related to infrastructure projects?</w:t>
      </w:r>
    </w:p>
    <w:p w14:paraId="40A48BFB"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no effort, or you do not know if any effort is made</w:t>
      </w:r>
    </w:p>
    <w:p w14:paraId="039AEA56"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are efforts, but they are not consistent, permanent, and inclusive</w:t>
      </w:r>
    </w:p>
    <w:p w14:paraId="691CAA06" w14:textId="05B2A7CA"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There are consistent, permanent, and inclusive efforts for citizens to know about the participation spaces and the </w:t>
      </w:r>
      <w:r w:rsidR="00A64FCE">
        <w:rPr>
          <w:rFonts w:ascii="Arial" w:eastAsia="Arial" w:hAnsi="Arial" w:cs="Arial"/>
          <w:sz w:val="22"/>
          <w:szCs w:val="22"/>
        </w:rPr>
        <w:t>information on infrastructure projects</w:t>
      </w:r>
    </w:p>
    <w:p w14:paraId="0BB39EA5" w14:textId="77777777" w:rsidR="002033A5" w:rsidRPr="00E619C8" w:rsidRDefault="002033A5">
      <w:pPr>
        <w:spacing w:line="276" w:lineRule="auto"/>
        <w:rPr>
          <w:rFonts w:ascii="Arial" w:eastAsia="Arial" w:hAnsi="Arial" w:cs="Arial"/>
          <w:sz w:val="22"/>
          <w:szCs w:val="22"/>
        </w:rPr>
      </w:pPr>
    </w:p>
    <w:p w14:paraId="04D9DA17"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34905609"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62CF364C" w14:textId="77777777" w:rsidR="00DB063F" w:rsidRPr="00E619C8" w:rsidRDefault="00DB063F">
      <w:pPr>
        <w:spacing w:line="276" w:lineRule="auto"/>
        <w:rPr>
          <w:rFonts w:ascii="Arial" w:eastAsia="Arial" w:hAnsi="Arial" w:cs="Arial"/>
          <w:sz w:val="22"/>
          <w:szCs w:val="22"/>
        </w:rPr>
      </w:pPr>
    </w:p>
    <w:p w14:paraId="20415B28" w14:textId="77777777" w:rsidR="002033A5" w:rsidRPr="00E619C8" w:rsidRDefault="00E113EC" w:rsidP="00DB063F">
      <w:pPr>
        <w:spacing w:before="240" w:after="240" w:line="276" w:lineRule="auto"/>
        <w:rPr>
          <w:rFonts w:ascii="Arial" w:eastAsia="Arial" w:hAnsi="Arial" w:cs="Arial"/>
          <w:b/>
          <w:bCs/>
        </w:rPr>
      </w:pPr>
      <w:bookmarkStart w:id="54" w:name="_heading=h.llwllxwfjudu" w:colFirst="0" w:colLast="0"/>
      <w:bookmarkEnd w:id="54"/>
      <w:r w:rsidRPr="00E619C8">
        <w:rPr>
          <w:rFonts w:ascii="Arial" w:eastAsia="Arial" w:hAnsi="Arial" w:cs="Arial"/>
          <w:b/>
          <w:bCs/>
        </w:rPr>
        <w:t xml:space="preserve">Sub-variable 3.1.2: Use of information by citizens </w:t>
      </w:r>
    </w:p>
    <w:p w14:paraId="0652D6BD" w14:textId="7E88938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The 7 questions of this sub-variable are answered based on capacities for citizen participation, and specific valuable cases of participation or co-creation. If there is documentary evidence of the cases, for example</w:t>
      </w:r>
      <w:r w:rsidR="00A64FCE">
        <w:rPr>
          <w:rFonts w:ascii="Arial" w:eastAsia="Arial" w:hAnsi="Arial" w:cs="Arial"/>
          <w:sz w:val="22"/>
          <w:szCs w:val="22"/>
        </w:rPr>
        <w:t>,</w:t>
      </w:r>
      <w:r w:rsidRPr="00E619C8">
        <w:rPr>
          <w:rFonts w:ascii="Arial" w:eastAsia="Arial" w:hAnsi="Arial" w:cs="Arial"/>
          <w:sz w:val="22"/>
          <w:szCs w:val="22"/>
        </w:rPr>
        <w:t xml:space="preserve"> the press, it is important to attach it. Otherwise, the cases must be described for evaluation.</w:t>
      </w:r>
    </w:p>
    <w:p w14:paraId="3304D5E5" w14:textId="77777777" w:rsidR="002033A5" w:rsidRPr="00E619C8" w:rsidRDefault="002033A5">
      <w:pPr>
        <w:spacing w:line="276" w:lineRule="auto"/>
        <w:rPr>
          <w:rFonts w:ascii="Arial" w:eastAsia="Arial" w:hAnsi="Arial" w:cs="Arial"/>
          <w:sz w:val="22"/>
          <w:szCs w:val="22"/>
        </w:rPr>
      </w:pPr>
    </w:p>
    <w:p w14:paraId="5B8E85BC" w14:textId="2F86EFF0"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 xml:space="preserve">1. Is there a mechanism that documents citizens’ complaints referring to public infrastructure projects, which generates a log, manages responses in an orderly fashion, and informs </w:t>
      </w:r>
      <w:r w:rsidR="00A64FCE">
        <w:rPr>
          <w:rFonts w:ascii="Arial" w:eastAsia="Arial" w:hAnsi="Arial" w:cs="Arial"/>
          <w:b/>
          <w:bCs/>
          <w:sz w:val="22"/>
          <w:szCs w:val="22"/>
        </w:rPr>
        <w:t>about</w:t>
      </w:r>
      <w:r w:rsidRPr="00E619C8">
        <w:rPr>
          <w:rFonts w:ascii="Arial" w:eastAsia="Arial" w:hAnsi="Arial" w:cs="Arial"/>
          <w:b/>
          <w:bCs/>
          <w:sz w:val="22"/>
          <w:szCs w:val="22"/>
        </w:rPr>
        <w:t xml:space="preserve"> what actions were taken?</w:t>
      </w:r>
    </w:p>
    <w:p w14:paraId="05AD6B72" w14:textId="346EA779"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There is no mechanism that </w:t>
      </w:r>
      <w:r w:rsidR="00A64FCE">
        <w:rPr>
          <w:rFonts w:ascii="Arial" w:eastAsia="Arial" w:hAnsi="Arial" w:cs="Arial"/>
          <w:sz w:val="22"/>
          <w:szCs w:val="22"/>
        </w:rPr>
        <w:t>centralises</w:t>
      </w:r>
      <w:r w:rsidRPr="00E619C8">
        <w:rPr>
          <w:rFonts w:ascii="Arial" w:eastAsia="Arial" w:hAnsi="Arial" w:cs="Arial"/>
          <w:sz w:val="22"/>
          <w:szCs w:val="22"/>
        </w:rPr>
        <w:t xml:space="preserve"> and manages citizen complaints, </w:t>
      </w:r>
      <w:r w:rsidR="00A64FCE">
        <w:rPr>
          <w:rFonts w:ascii="Arial" w:eastAsia="Arial" w:hAnsi="Arial" w:cs="Arial"/>
          <w:sz w:val="22"/>
          <w:szCs w:val="22"/>
        </w:rPr>
        <w:t>nor is there</w:t>
      </w:r>
      <w:r w:rsidRPr="00E619C8">
        <w:rPr>
          <w:rFonts w:ascii="Arial" w:eastAsia="Arial" w:hAnsi="Arial" w:cs="Arial"/>
          <w:sz w:val="22"/>
          <w:szCs w:val="22"/>
        </w:rPr>
        <w:t xml:space="preserve"> evidence of its existence </w:t>
      </w:r>
    </w:p>
    <w:p w14:paraId="68FFA856"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There is one, but it does not work optimally </w:t>
      </w:r>
    </w:p>
    <w:p w14:paraId="32E9E6BA" w14:textId="232C8E35"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There is one </w:t>
      </w:r>
      <w:r w:rsidR="007F524A">
        <w:rPr>
          <w:rFonts w:ascii="Arial" w:eastAsia="Arial" w:hAnsi="Arial" w:cs="Arial"/>
          <w:sz w:val="22"/>
          <w:szCs w:val="22"/>
        </w:rPr>
        <w:t>that</w:t>
      </w:r>
      <w:r w:rsidRPr="00E619C8">
        <w:rPr>
          <w:rFonts w:ascii="Arial" w:eastAsia="Arial" w:hAnsi="Arial" w:cs="Arial"/>
          <w:sz w:val="22"/>
          <w:szCs w:val="22"/>
        </w:rPr>
        <w:t xml:space="preserve"> works properly, but it does not generate a report with the actions taken in specific infrastructure projects</w:t>
      </w:r>
    </w:p>
    <w:p w14:paraId="52452E3C" w14:textId="0BA88D5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one</w:t>
      </w:r>
      <w:r w:rsidR="007F524A">
        <w:rPr>
          <w:rFonts w:ascii="Arial" w:eastAsia="Arial" w:hAnsi="Arial" w:cs="Arial"/>
          <w:sz w:val="22"/>
          <w:szCs w:val="22"/>
        </w:rPr>
        <w:t xml:space="preserve"> that</w:t>
      </w:r>
      <w:r w:rsidRPr="00E619C8">
        <w:rPr>
          <w:rFonts w:ascii="Arial" w:eastAsia="Arial" w:hAnsi="Arial" w:cs="Arial"/>
          <w:sz w:val="22"/>
          <w:szCs w:val="22"/>
        </w:rPr>
        <w:t xml:space="preserve"> works optimally, and reports the actions that were carried out in specific infrastructure projects</w:t>
      </w:r>
    </w:p>
    <w:p w14:paraId="430B8445" w14:textId="77777777" w:rsidR="002033A5" w:rsidRPr="00E619C8" w:rsidRDefault="002033A5">
      <w:pPr>
        <w:spacing w:line="276" w:lineRule="auto"/>
        <w:rPr>
          <w:rFonts w:ascii="Arial" w:eastAsia="Arial" w:hAnsi="Arial" w:cs="Arial"/>
          <w:sz w:val="22"/>
          <w:szCs w:val="22"/>
        </w:rPr>
      </w:pPr>
    </w:p>
    <w:p w14:paraId="2BDE280E"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04B36486"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71242E6F" w14:textId="77777777" w:rsidR="002033A5" w:rsidRPr="00E619C8" w:rsidRDefault="002033A5">
      <w:pPr>
        <w:spacing w:line="276" w:lineRule="auto"/>
        <w:rPr>
          <w:rFonts w:ascii="Arial" w:eastAsia="Arial" w:hAnsi="Arial" w:cs="Arial"/>
          <w:sz w:val="22"/>
          <w:szCs w:val="22"/>
        </w:rPr>
      </w:pPr>
    </w:p>
    <w:p w14:paraId="14165CA7" w14:textId="177A81C3"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 xml:space="preserve">2. Are access to information requests and responses </w:t>
      </w:r>
      <w:r w:rsidR="007F524A">
        <w:rPr>
          <w:rFonts w:ascii="Arial" w:eastAsia="Arial" w:hAnsi="Arial" w:cs="Arial"/>
          <w:b/>
          <w:bCs/>
          <w:sz w:val="22"/>
          <w:szCs w:val="22"/>
        </w:rPr>
        <w:t>categorised</w:t>
      </w:r>
      <w:r w:rsidRPr="00E619C8">
        <w:rPr>
          <w:rFonts w:ascii="Arial" w:eastAsia="Arial" w:hAnsi="Arial" w:cs="Arial"/>
          <w:b/>
          <w:bCs/>
          <w:sz w:val="22"/>
          <w:szCs w:val="22"/>
        </w:rPr>
        <w:t xml:space="preserve"> and recorded, and do they generate performance metrics for the entity?</w:t>
      </w:r>
    </w:p>
    <w:p w14:paraId="38ED1D9A" w14:textId="788B3A8F"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You do not know how many requests for access to information </w:t>
      </w:r>
      <w:r w:rsidR="007F524A">
        <w:rPr>
          <w:rFonts w:ascii="Arial" w:eastAsia="Arial" w:hAnsi="Arial" w:cs="Arial"/>
          <w:sz w:val="22"/>
          <w:szCs w:val="22"/>
        </w:rPr>
        <w:t>there were</w:t>
      </w:r>
      <w:r w:rsidRPr="00E619C8">
        <w:rPr>
          <w:rFonts w:ascii="Arial" w:eastAsia="Arial" w:hAnsi="Arial" w:cs="Arial"/>
          <w:sz w:val="22"/>
          <w:szCs w:val="22"/>
        </w:rPr>
        <w:t xml:space="preserve"> in the last year, or there is no record of the number of requests </w:t>
      </w:r>
    </w:p>
    <w:p w14:paraId="7B9579DA" w14:textId="0757263E"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You know how many requests the entity received in the last year, and how many responses were there, but without specific </w:t>
      </w:r>
      <w:r w:rsidR="007F524A">
        <w:rPr>
          <w:rFonts w:ascii="Arial" w:eastAsia="Arial" w:hAnsi="Arial" w:cs="Arial"/>
          <w:sz w:val="22"/>
          <w:szCs w:val="22"/>
        </w:rPr>
        <w:t>categorisation</w:t>
      </w:r>
      <w:r w:rsidRPr="00E619C8">
        <w:rPr>
          <w:rFonts w:ascii="Arial" w:eastAsia="Arial" w:hAnsi="Arial" w:cs="Arial"/>
          <w:sz w:val="22"/>
          <w:szCs w:val="22"/>
        </w:rPr>
        <w:t xml:space="preserve"> and/or performance metrics </w:t>
      </w:r>
    </w:p>
    <w:p w14:paraId="3070A964"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You know how many of the total responses were positive (that is, containing the information requested by citizens), how many were sent to other agencies (the correct one to resolve the request), how many were on the same type of information (several people requesting the same data), among other categories; and for all categories there are response performance metrics</w:t>
      </w:r>
    </w:p>
    <w:p w14:paraId="6D1F2B48" w14:textId="77777777" w:rsidR="002033A5" w:rsidRPr="00E619C8" w:rsidRDefault="002033A5">
      <w:pPr>
        <w:spacing w:line="276" w:lineRule="auto"/>
        <w:rPr>
          <w:rFonts w:ascii="Arial" w:eastAsia="Arial" w:hAnsi="Arial" w:cs="Arial"/>
          <w:sz w:val="22"/>
          <w:szCs w:val="22"/>
        </w:rPr>
      </w:pPr>
    </w:p>
    <w:p w14:paraId="5FCC4DB5"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3BCE0FD1"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6B419074" w14:textId="77777777" w:rsidR="002033A5" w:rsidRPr="00E619C8" w:rsidRDefault="002033A5">
      <w:pPr>
        <w:spacing w:line="276" w:lineRule="auto"/>
        <w:rPr>
          <w:rFonts w:ascii="Arial" w:eastAsia="Arial" w:hAnsi="Arial" w:cs="Arial"/>
          <w:sz w:val="22"/>
          <w:szCs w:val="22"/>
        </w:rPr>
      </w:pPr>
    </w:p>
    <w:p w14:paraId="4D4F8F93" w14:textId="34E2AA25"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 xml:space="preserve">3. Are the responses to </w:t>
      </w:r>
      <w:r w:rsidR="007F524A">
        <w:rPr>
          <w:rFonts w:ascii="Arial" w:eastAsia="Arial" w:hAnsi="Arial" w:cs="Arial"/>
          <w:b/>
          <w:bCs/>
          <w:sz w:val="22"/>
          <w:szCs w:val="22"/>
        </w:rPr>
        <w:t>citizens'</w:t>
      </w:r>
      <w:r w:rsidRPr="00E619C8">
        <w:rPr>
          <w:rFonts w:ascii="Arial" w:eastAsia="Arial" w:hAnsi="Arial" w:cs="Arial"/>
          <w:b/>
          <w:bCs/>
          <w:sz w:val="22"/>
          <w:szCs w:val="22"/>
        </w:rPr>
        <w:t xml:space="preserve"> information requests provided according to the period established by the regulatory framework?</w:t>
      </w:r>
    </w:p>
    <w:p w14:paraId="0043E7BA"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no capacity to answer within the period established by the regulatory framework, or there is no control over the response time, or there is no information about requests</w:t>
      </w:r>
    </w:p>
    <w:p w14:paraId="481D7E92" w14:textId="7A54B795"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Only some cases receive </w:t>
      </w:r>
      <w:r w:rsidR="007F524A">
        <w:rPr>
          <w:rFonts w:ascii="Arial" w:eastAsia="Arial" w:hAnsi="Arial" w:cs="Arial"/>
          <w:sz w:val="22"/>
          <w:szCs w:val="22"/>
        </w:rPr>
        <w:t xml:space="preserve">a </w:t>
      </w:r>
      <w:r w:rsidRPr="00E619C8">
        <w:rPr>
          <w:rFonts w:ascii="Arial" w:eastAsia="Arial" w:hAnsi="Arial" w:cs="Arial"/>
          <w:sz w:val="22"/>
          <w:szCs w:val="22"/>
        </w:rPr>
        <w:t>response within the period established by the framework</w:t>
      </w:r>
    </w:p>
    <w:p w14:paraId="2E8D8321"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Most cases are responded to within the period established by the framework</w:t>
      </w:r>
    </w:p>
    <w:p w14:paraId="05EC53EC"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100% of cases are responded to within the period established by the framework</w:t>
      </w:r>
    </w:p>
    <w:p w14:paraId="565C2A6C" w14:textId="77777777" w:rsidR="002033A5" w:rsidRPr="00E619C8" w:rsidRDefault="002033A5">
      <w:pPr>
        <w:spacing w:line="276" w:lineRule="auto"/>
        <w:rPr>
          <w:rFonts w:ascii="Arial" w:eastAsia="Arial" w:hAnsi="Arial" w:cs="Arial"/>
          <w:sz w:val="22"/>
          <w:szCs w:val="22"/>
        </w:rPr>
      </w:pPr>
    </w:p>
    <w:p w14:paraId="28D45916"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756A7163"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0F8CDF59" w14:textId="77777777" w:rsidR="002033A5" w:rsidRPr="00E619C8" w:rsidRDefault="002033A5">
      <w:pPr>
        <w:spacing w:line="276" w:lineRule="auto"/>
        <w:rPr>
          <w:rFonts w:ascii="Arial" w:eastAsia="Arial" w:hAnsi="Arial" w:cs="Arial"/>
          <w:sz w:val="22"/>
          <w:szCs w:val="22"/>
        </w:rPr>
      </w:pPr>
    </w:p>
    <w:p w14:paraId="2A6120E4" w14:textId="77777777"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4. Does the entity provide the public with feedback, such as reports or announcements, on how citizens’ contributions have been used in infrastructure projects?</w:t>
      </w:r>
    </w:p>
    <w:p w14:paraId="6B379036" w14:textId="2705E8C9"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Feedback is not made public, or you do not </w:t>
      </w:r>
      <w:r w:rsidR="007F524A">
        <w:rPr>
          <w:rFonts w:ascii="Arial" w:eastAsia="Arial" w:hAnsi="Arial" w:cs="Arial"/>
          <w:sz w:val="22"/>
          <w:szCs w:val="22"/>
        </w:rPr>
        <w:t>know</w:t>
      </w:r>
      <w:r w:rsidRPr="00E619C8">
        <w:rPr>
          <w:rFonts w:ascii="Arial" w:eastAsia="Arial" w:hAnsi="Arial" w:cs="Arial"/>
          <w:sz w:val="22"/>
          <w:szCs w:val="22"/>
        </w:rPr>
        <w:t xml:space="preserve"> if there is internal use of citizen participation, or there is no citizen participation </w:t>
      </w:r>
    </w:p>
    <w:p w14:paraId="4DA44919" w14:textId="502433D6"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There is an internal use of citizen participation that can be referred to, but it is not </w:t>
      </w:r>
      <w:r w:rsidR="007F524A">
        <w:rPr>
          <w:rFonts w:ascii="Arial" w:eastAsia="Arial" w:hAnsi="Arial" w:cs="Arial"/>
          <w:sz w:val="22"/>
          <w:szCs w:val="22"/>
        </w:rPr>
        <w:t>well-documented</w:t>
      </w:r>
      <w:r w:rsidRPr="00E619C8">
        <w:rPr>
          <w:rFonts w:ascii="Arial" w:eastAsia="Arial" w:hAnsi="Arial" w:cs="Arial"/>
          <w:sz w:val="22"/>
          <w:szCs w:val="22"/>
        </w:rPr>
        <w:t xml:space="preserve"> </w:t>
      </w:r>
    </w:p>
    <w:p w14:paraId="32952A10"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Internal use is well documented, but not made public </w:t>
      </w:r>
    </w:p>
    <w:p w14:paraId="1F7B6375" w14:textId="05146688"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 </w:t>
      </w:r>
      <w:r w:rsidR="007F524A">
        <w:rPr>
          <w:rFonts w:ascii="Arial" w:eastAsia="Arial" w:hAnsi="Arial" w:cs="Arial"/>
          <w:sz w:val="22"/>
          <w:szCs w:val="22"/>
        </w:rPr>
        <w:t>internally</w:t>
      </w:r>
      <w:r w:rsidRPr="00E619C8">
        <w:rPr>
          <w:rFonts w:ascii="Arial" w:eastAsia="Arial" w:hAnsi="Arial" w:cs="Arial"/>
          <w:sz w:val="22"/>
          <w:szCs w:val="22"/>
        </w:rPr>
        <w:t xml:space="preserve"> documented use of citizen participation in infrastructure projects is made public</w:t>
      </w:r>
    </w:p>
    <w:p w14:paraId="5BA34975" w14:textId="77777777" w:rsidR="002033A5" w:rsidRPr="00E619C8" w:rsidRDefault="002033A5">
      <w:pPr>
        <w:spacing w:line="276" w:lineRule="auto"/>
        <w:rPr>
          <w:rFonts w:ascii="Arial" w:eastAsia="Arial" w:hAnsi="Arial" w:cs="Arial"/>
          <w:sz w:val="22"/>
          <w:szCs w:val="22"/>
        </w:rPr>
      </w:pPr>
    </w:p>
    <w:p w14:paraId="2245F20F"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7063FA25"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46804F55" w14:textId="77777777" w:rsidR="002033A5" w:rsidRPr="00E619C8" w:rsidRDefault="002033A5">
      <w:pPr>
        <w:spacing w:line="276" w:lineRule="auto"/>
        <w:rPr>
          <w:rFonts w:ascii="Arial" w:eastAsia="Arial" w:hAnsi="Arial" w:cs="Arial"/>
          <w:sz w:val="22"/>
          <w:szCs w:val="22"/>
        </w:rPr>
      </w:pPr>
    </w:p>
    <w:p w14:paraId="43704D51" w14:textId="771CF23C"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 xml:space="preserve">5. Do you know if the information that is made public about infrastructure projects is used in any way by citizens, civil society </w:t>
      </w:r>
      <w:r w:rsidR="007F524A">
        <w:rPr>
          <w:rFonts w:ascii="Arial" w:eastAsia="Arial" w:hAnsi="Arial" w:cs="Arial"/>
          <w:b/>
          <w:bCs/>
          <w:sz w:val="22"/>
          <w:szCs w:val="22"/>
        </w:rPr>
        <w:t>organisations</w:t>
      </w:r>
      <w:r w:rsidRPr="00E619C8">
        <w:rPr>
          <w:rFonts w:ascii="Arial" w:eastAsia="Arial" w:hAnsi="Arial" w:cs="Arial"/>
          <w:b/>
          <w:bCs/>
          <w:sz w:val="22"/>
          <w:szCs w:val="22"/>
        </w:rPr>
        <w:t>, academia, the media, the private sector or any other actor?</w:t>
      </w:r>
    </w:p>
    <w:p w14:paraId="4652E34F"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You do not know if there was any type of use last year</w:t>
      </w:r>
    </w:p>
    <w:p w14:paraId="74E72117"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You know and can describe one example from last year </w:t>
      </w:r>
    </w:p>
    <w:p w14:paraId="61ED75ED"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You know and can describe more than one example from last year</w:t>
      </w:r>
    </w:p>
    <w:p w14:paraId="6DD1E7A0" w14:textId="77777777" w:rsidR="002033A5" w:rsidRPr="00E619C8" w:rsidRDefault="002033A5">
      <w:pPr>
        <w:spacing w:line="276" w:lineRule="auto"/>
        <w:rPr>
          <w:rFonts w:ascii="Arial" w:eastAsia="Arial" w:hAnsi="Arial" w:cs="Arial"/>
          <w:sz w:val="22"/>
          <w:szCs w:val="22"/>
        </w:rPr>
      </w:pPr>
    </w:p>
    <w:p w14:paraId="28AFDFDC"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7E2BC2A0"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6FD66DCE"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103F7771" w14:textId="77777777" w:rsidR="002033A5" w:rsidRPr="00E619C8" w:rsidRDefault="002033A5">
      <w:pPr>
        <w:spacing w:line="276" w:lineRule="auto"/>
        <w:rPr>
          <w:rFonts w:ascii="Arial" w:eastAsia="Arial" w:hAnsi="Arial" w:cs="Arial"/>
          <w:b/>
          <w:bCs/>
          <w:sz w:val="22"/>
          <w:szCs w:val="22"/>
        </w:rPr>
      </w:pPr>
    </w:p>
    <w:p w14:paraId="6DD5EA69" w14:textId="106D1D6A"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 xml:space="preserve">6. Do you know if the entity has developed projects together with other actors outside the entity (as a co-creation project with a civil society </w:t>
      </w:r>
      <w:r w:rsidR="007F524A">
        <w:rPr>
          <w:rFonts w:ascii="Arial" w:eastAsia="Arial" w:hAnsi="Arial" w:cs="Arial"/>
          <w:b/>
          <w:bCs/>
          <w:sz w:val="22"/>
          <w:szCs w:val="22"/>
        </w:rPr>
        <w:t>organisation or academia,</w:t>
      </w:r>
      <w:r w:rsidRPr="00E619C8">
        <w:rPr>
          <w:rFonts w:ascii="Arial" w:eastAsia="Arial" w:hAnsi="Arial" w:cs="Arial"/>
          <w:b/>
          <w:bCs/>
          <w:sz w:val="22"/>
          <w:szCs w:val="22"/>
        </w:rPr>
        <w:t xml:space="preserve"> for example), to generate some kind of value from the public information on infrastructure projects?</w:t>
      </w:r>
    </w:p>
    <w:p w14:paraId="428EBF79"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You do not know if there was a co-creation project last year</w:t>
      </w:r>
    </w:p>
    <w:p w14:paraId="79544C10"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You know and can describe one example from last year </w:t>
      </w:r>
    </w:p>
    <w:p w14:paraId="31F6EA1D" w14:textId="71763A21"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You </w:t>
      </w:r>
      <w:r w:rsidR="007F524A">
        <w:rPr>
          <w:rFonts w:ascii="Arial" w:eastAsia="Arial" w:hAnsi="Arial" w:cs="Arial"/>
          <w:sz w:val="22"/>
          <w:szCs w:val="22"/>
        </w:rPr>
        <w:t>know</w:t>
      </w:r>
      <w:r w:rsidRPr="00E619C8">
        <w:rPr>
          <w:rFonts w:ascii="Arial" w:eastAsia="Arial" w:hAnsi="Arial" w:cs="Arial"/>
          <w:sz w:val="22"/>
          <w:szCs w:val="22"/>
        </w:rPr>
        <w:t xml:space="preserve"> and can describe more than one example from last year</w:t>
      </w:r>
    </w:p>
    <w:p w14:paraId="68802E61" w14:textId="77777777" w:rsidR="002033A5" w:rsidRPr="00E619C8" w:rsidRDefault="002033A5">
      <w:pPr>
        <w:spacing w:line="276" w:lineRule="auto"/>
        <w:rPr>
          <w:rFonts w:ascii="Arial" w:eastAsia="Arial" w:hAnsi="Arial" w:cs="Arial"/>
          <w:sz w:val="22"/>
          <w:szCs w:val="22"/>
        </w:rPr>
      </w:pPr>
    </w:p>
    <w:p w14:paraId="188022E5"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06C77500"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2CE03141"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2FCE638E" w14:textId="77777777" w:rsidR="002033A5" w:rsidRPr="00E619C8" w:rsidRDefault="002033A5">
      <w:pPr>
        <w:spacing w:line="276" w:lineRule="auto"/>
        <w:rPr>
          <w:rFonts w:ascii="Arial" w:eastAsia="Arial" w:hAnsi="Arial" w:cs="Arial"/>
          <w:sz w:val="22"/>
          <w:szCs w:val="22"/>
        </w:rPr>
      </w:pPr>
    </w:p>
    <w:p w14:paraId="1BCE095E" w14:textId="77777777" w:rsidR="002033A5" w:rsidRPr="00E619C8" w:rsidRDefault="00E113EC">
      <w:pPr>
        <w:spacing w:line="276" w:lineRule="auto"/>
        <w:rPr>
          <w:rFonts w:ascii="Arial" w:eastAsia="Arial" w:hAnsi="Arial" w:cs="Arial"/>
          <w:b/>
          <w:bCs/>
          <w:sz w:val="22"/>
          <w:szCs w:val="22"/>
        </w:rPr>
      </w:pPr>
      <w:r w:rsidRPr="00E619C8">
        <w:rPr>
          <w:rFonts w:ascii="Arial" w:eastAsia="Arial" w:hAnsi="Arial" w:cs="Arial"/>
          <w:b/>
          <w:bCs/>
          <w:sz w:val="22"/>
          <w:szCs w:val="22"/>
        </w:rPr>
        <w:t>7. Is there evidence of changes or reforms that have been made to infrastructure projects in response to feedback, evaluation, or some other type of citizen participation?</w:t>
      </w:r>
    </w:p>
    <w:p w14:paraId="4A4A1944" w14:textId="1796D5AF"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are no cases</w:t>
      </w:r>
      <w:r w:rsidR="007F524A">
        <w:rPr>
          <w:rFonts w:ascii="Arial" w:eastAsia="Arial" w:hAnsi="Arial" w:cs="Arial"/>
          <w:sz w:val="22"/>
          <w:szCs w:val="22"/>
        </w:rPr>
        <w:t>,</w:t>
      </w:r>
      <w:r w:rsidRPr="00E619C8">
        <w:rPr>
          <w:rFonts w:ascii="Arial" w:eastAsia="Arial" w:hAnsi="Arial" w:cs="Arial"/>
          <w:sz w:val="22"/>
          <w:szCs w:val="22"/>
        </w:rPr>
        <w:t xml:space="preserve"> or you do not know if there are any from last year</w:t>
      </w:r>
    </w:p>
    <w:p w14:paraId="17B80F6F" w14:textId="0BE67CB5"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xml:space="preserve">( ) There is evidence of improvements in one project </w:t>
      </w:r>
      <w:r w:rsidR="00032227">
        <w:rPr>
          <w:rFonts w:ascii="Arial" w:eastAsia="Arial" w:hAnsi="Arial" w:cs="Arial"/>
          <w:sz w:val="22"/>
          <w:szCs w:val="22"/>
        </w:rPr>
        <w:t>from</w:t>
      </w:r>
      <w:r w:rsidRPr="00E619C8">
        <w:rPr>
          <w:rFonts w:ascii="Arial" w:eastAsia="Arial" w:hAnsi="Arial" w:cs="Arial"/>
          <w:sz w:val="22"/>
          <w:szCs w:val="22"/>
        </w:rPr>
        <w:t xml:space="preserve"> last year </w:t>
      </w:r>
    </w:p>
    <w:p w14:paraId="0B34E4FA"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 ) There is evidence of improvements in more than one project from last year</w:t>
      </w:r>
    </w:p>
    <w:p w14:paraId="07410186" w14:textId="77777777" w:rsidR="002033A5" w:rsidRPr="00E619C8" w:rsidRDefault="002033A5">
      <w:pPr>
        <w:spacing w:line="276" w:lineRule="auto"/>
        <w:rPr>
          <w:rFonts w:ascii="Arial" w:eastAsia="Arial" w:hAnsi="Arial" w:cs="Arial"/>
          <w:sz w:val="22"/>
          <w:szCs w:val="22"/>
        </w:rPr>
      </w:pPr>
    </w:p>
    <w:p w14:paraId="63E415B8"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Description/evidence:</w:t>
      </w:r>
    </w:p>
    <w:p w14:paraId="40221BD8"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77930BCD" w14:textId="77777777" w:rsidR="002033A5" w:rsidRPr="00E619C8" w:rsidRDefault="00E113EC">
      <w:pPr>
        <w:spacing w:line="276" w:lineRule="auto"/>
        <w:rPr>
          <w:rFonts w:ascii="Arial" w:eastAsia="Arial" w:hAnsi="Arial" w:cs="Arial"/>
          <w:sz w:val="22"/>
          <w:szCs w:val="22"/>
        </w:rPr>
      </w:pPr>
      <w:r w:rsidRPr="00E619C8">
        <w:rPr>
          <w:rFonts w:ascii="Arial" w:eastAsia="Arial" w:hAnsi="Arial" w:cs="Arial"/>
          <w:sz w:val="22"/>
          <w:szCs w:val="22"/>
        </w:rPr>
        <w:t>_________________________________________________________________________</w:t>
      </w:r>
    </w:p>
    <w:p w14:paraId="5F38AB9C" w14:textId="77777777" w:rsidR="002033A5" w:rsidRPr="00E619C8" w:rsidRDefault="002033A5">
      <w:pPr>
        <w:spacing w:line="276" w:lineRule="auto"/>
        <w:rPr>
          <w:rFonts w:ascii="Arial" w:eastAsia="Arial" w:hAnsi="Arial" w:cs="Arial"/>
          <w:sz w:val="22"/>
          <w:szCs w:val="22"/>
        </w:rPr>
      </w:pPr>
    </w:p>
    <w:p w14:paraId="1C1C6E58" w14:textId="77777777" w:rsidR="002033A5" w:rsidRPr="00E619C8" w:rsidRDefault="002033A5">
      <w:pPr>
        <w:pBdr>
          <w:top w:val="nil"/>
          <w:left w:val="nil"/>
          <w:bottom w:val="nil"/>
          <w:right w:val="nil"/>
          <w:between w:val="nil"/>
        </w:pBdr>
        <w:spacing w:after="160" w:line="300" w:lineRule="auto"/>
        <w:jc w:val="both"/>
        <w:rPr>
          <w:rFonts w:ascii="Arial" w:eastAsia="Arial" w:hAnsi="Arial" w:cs="Arial"/>
          <w:sz w:val="20"/>
          <w:szCs w:val="20"/>
        </w:rPr>
      </w:pPr>
    </w:p>
    <w:p w14:paraId="6E608955" w14:textId="460A1EC2" w:rsidR="002033A5" w:rsidRPr="00E619C8" w:rsidRDefault="002033A5">
      <w:pPr>
        <w:pBdr>
          <w:top w:val="nil"/>
          <w:left w:val="nil"/>
          <w:bottom w:val="nil"/>
          <w:right w:val="nil"/>
          <w:between w:val="nil"/>
        </w:pBdr>
        <w:spacing w:after="160" w:line="300" w:lineRule="auto"/>
        <w:jc w:val="both"/>
        <w:rPr>
          <w:rFonts w:ascii="Arial" w:eastAsia="Arial" w:hAnsi="Arial" w:cs="Arial"/>
          <w:sz w:val="22"/>
          <w:szCs w:val="22"/>
        </w:rPr>
      </w:pPr>
    </w:p>
    <w:p w14:paraId="0D252010" w14:textId="77777777" w:rsidR="00DB063F" w:rsidRPr="00E619C8" w:rsidRDefault="00DB063F">
      <w:pPr>
        <w:rPr>
          <w:rFonts w:ascii="Arial" w:eastAsia="Arial" w:hAnsi="Arial" w:cs="Arial"/>
          <w:b/>
          <w:bCs/>
          <w:color w:val="C00000"/>
          <w:sz w:val="48"/>
          <w:szCs w:val="48"/>
        </w:rPr>
      </w:pPr>
      <w:r w:rsidRPr="00E619C8">
        <w:rPr>
          <w:rFonts w:ascii="Arial" w:eastAsia="Arial" w:hAnsi="Arial" w:cs="Arial"/>
          <w:b/>
          <w:bCs/>
          <w:color w:val="C00000"/>
          <w:sz w:val="48"/>
          <w:szCs w:val="48"/>
        </w:rPr>
        <w:br w:type="page"/>
      </w:r>
    </w:p>
    <w:p w14:paraId="08816B88" w14:textId="0D4AE44D" w:rsidR="002033A5" w:rsidRPr="00E619C8" w:rsidRDefault="00E113EC">
      <w:pPr>
        <w:pStyle w:val="Heading1"/>
        <w:pBdr>
          <w:top w:val="nil"/>
          <w:left w:val="nil"/>
          <w:bottom w:val="nil"/>
          <w:right w:val="nil"/>
          <w:between w:val="nil"/>
        </w:pBdr>
        <w:spacing w:before="120" w:after="240" w:line="276" w:lineRule="auto"/>
        <w:rPr>
          <w:rFonts w:ascii="Arial" w:eastAsia="Arial" w:hAnsi="Arial" w:cs="Arial"/>
          <w:sz w:val="22"/>
          <w:szCs w:val="22"/>
        </w:rPr>
      </w:pPr>
      <w:bookmarkStart w:id="55" w:name="_Toc227235266"/>
      <w:r w:rsidRPr="00E619C8">
        <w:rPr>
          <w:rFonts w:ascii="Arial" w:eastAsia="Arial" w:hAnsi="Arial" w:cs="Arial"/>
          <w:b/>
          <w:bCs/>
          <w:color w:val="C00000"/>
          <w:sz w:val="48"/>
          <w:szCs w:val="48"/>
        </w:rPr>
        <w:t xml:space="preserve">Annex 3 </w:t>
      </w:r>
      <w:r w:rsidRPr="00E619C8">
        <w:rPr>
          <w:rFonts w:ascii="Arial" w:eastAsia="Arial" w:hAnsi="Arial" w:cs="Arial"/>
          <w:b/>
          <w:bCs/>
          <w:color w:val="C00000"/>
        </w:rPr>
        <w:t>| National ITI scores by indicator</w:t>
      </w:r>
      <w:bookmarkEnd w:id="55"/>
    </w:p>
    <w:p w14:paraId="6806F83A" w14:textId="046D7BD2" w:rsidR="002033A5" w:rsidRPr="00E619C8" w:rsidRDefault="00702DCB">
      <w:pPr>
        <w:pBdr>
          <w:top w:val="nil"/>
          <w:left w:val="nil"/>
          <w:bottom w:val="nil"/>
          <w:right w:val="nil"/>
          <w:between w:val="nil"/>
        </w:pBdr>
        <w:spacing w:after="160" w:line="300" w:lineRule="auto"/>
        <w:jc w:val="both"/>
        <w:rPr>
          <w:rFonts w:ascii="Arial" w:eastAsia="Arial" w:hAnsi="Arial" w:cs="Arial"/>
          <w:sz w:val="20"/>
          <w:szCs w:val="20"/>
        </w:rPr>
      </w:pPr>
      <w:r w:rsidRPr="00E619C8">
        <w:rPr>
          <w:noProof/>
        </w:rPr>
        <w:drawing>
          <wp:inline distT="0" distB="0" distL="0" distR="0" wp14:anchorId="5A2DAF91" wp14:editId="6BB6BE5C">
            <wp:extent cx="5731510" cy="3549650"/>
            <wp:effectExtent l="0" t="0" r="0" b="6350"/>
            <wp:docPr id="183390802" name="Picture 9" descr="A graph of different colored rectangular objects&#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3390802" name="Picture 9" descr="A graph of different colored rectangular objects&#10;&#10;Description automatically generated with medium confidence"/>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31510" cy="3549650"/>
                    </a:xfrm>
                    <a:prstGeom prst="rect">
                      <a:avLst/>
                    </a:prstGeom>
                    <a:noFill/>
                    <a:ln>
                      <a:noFill/>
                    </a:ln>
                  </pic:spPr>
                </pic:pic>
              </a:graphicData>
            </a:graphic>
          </wp:inline>
        </w:drawing>
      </w:r>
    </w:p>
    <w:p w14:paraId="6E6DAF45" w14:textId="77777777" w:rsidR="002033A5" w:rsidRPr="00E619C8" w:rsidRDefault="002033A5">
      <w:pPr>
        <w:spacing w:after="160" w:line="300" w:lineRule="auto"/>
        <w:jc w:val="both"/>
        <w:rPr>
          <w:rFonts w:ascii="Arial" w:eastAsia="Arial" w:hAnsi="Arial" w:cs="Arial"/>
          <w:sz w:val="20"/>
          <w:szCs w:val="20"/>
        </w:rPr>
      </w:pPr>
    </w:p>
    <w:tbl>
      <w:tblPr>
        <w:tblStyle w:val="af5"/>
        <w:tblW w:w="8985" w:type="dxa"/>
        <w:tblBorders>
          <w:top w:val="nil"/>
          <w:left w:val="nil"/>
          <w:bottom w:val="nil"/>
          <w:right w:val="nil"/>
          <w:insideH w:val="nil"/>
          <w:insideV w:val="nil"/>
        </w:tblBorders>
        <w:tblLayout w:type="fixed"/>
        <w:tblLook w:val="0600" w:firstRow="0" w:lastRow="0" w:firstColumn="0" w:lastColumn="0" w:noHBand="1" w:noVBand="1"/>
      </w:tblPr>
      <w:tblGrid>
        <w:gridCol w:w="960"/>
        <w:gridCol w:w="1245"/>
        <w:gridCol w:w="2220"/>
        <w:gridCol w:w="2985"/>
        <w:gridCol w:w="1575"/>
      </w:tblGrid>
      <w:tr w:rsidR="002033A5" w:rsidRPr="00E619C8" w14:paraId="522A0022" w14:textId="77777777">
        <w:trPr>
          <w:trHeight w:val="765"/>
        </w:trPr>
        <w:tc>
          <w:tcPr>
            <w:tcW w:w="960" w:type="dxa"/>
            <w:tcBorders>
              <w:top w:val="single" w:sz="6" w:space="0" w:color="000000"/>
              <w:left w:val="single" w:sz="6" w:space="0" w:color="000000"/>
              <w:bottom w:val="single" w:sz="6" w:space="0" w:color="000000"/>
              <w:right w:val="single" w:sz="6" w:space="0" w:color="000000"/>
            </w:tcBorders>
            <w:shd w:val="clear" w:color="auto" w:fill="C00000"/>
            <w:tcMar>
              <w:top w:w="0" w:type="dxa"/>
              <w:left w:w="100" w:type="dxa"/>
              <w:bottom w:w="0" w:type="dxa"/>
              <w:right w:w="100" w:type="dxa"/>
            </w:tcMar>
          </w:tcPr>
          <w:p w14:paraId="00E9E0FB" w14:textId="77777777" w:rsidR="002033A5" w:rsidRPr="00E619C8" w:rsidRDefault="00E113EC">
            <w:pPr>
              <w:spacing w:line="300" w:lineRule="auto"/>
              <w:jc w:val="center"/>
              <w:rPr>
                <w:rFonts w:ascii="Arial" w:eastAsia="Arial" w:hAnsi="Arial" w:cs="Arial"/>
                <w:b/>
                <w:bCs/>
                <w:color w:val="FFFFFF"/>
                <w:sz w:val="14"/>
                <w:szCs w:val="14"/>
              </w:rPr>
            </w:pPr>
            <w:r w:rsidRPr="00E619C8">
              <w:rPr>
                <w:rFonts w:ascii="Arial" w:eastAsia="Arial" w:hAnsi="Arial" w:cs="Arial"/>
                <w:b/>
                <w:bCs/>
                <w:color w:val="FFFFFF"/>
                <w:sz w:val="14"/>
                <w:szCs w:val="14"/>
              </w:rPr>
              <w:t>No.</w:t>
            </w:r>
          </w:p>
        </w:tc>
        <w:tc>
          <w:tcPr>
            <w:tcW w:w="1245" w:type="dxa"/>
            <w:tcBorders>
              <w:top w:val="single" w:sz="6" w:space="0" w:color="000000"/>
              <w:left w:val="nil"/>
              <w:bottom w:val="single" w:sz="6" w:space="0" w:color="000000"/>
              <w:right w:val="single" w:sz="6" w:space="0" w:color="000000"/>
            </w:tcBorders>
            <w:shd w:val="clear" w:color="auto" w:fill="C00000"/>
            <w:tcMar>
              <w:top w:w="0" w:type="dxa"/>
              <w:left w:w="100" w:type="dxa"/>
              <w:bottom w:w="0" w:type="dxa"/>
              <w:right w:w="100" w:type="dxa"/>
            </w:tcMar>
          </w:tcPr>
          <w:p w14:paraId="2768BADA" w14:textId="77777777" w:rsidR="002033A5" w:rsidRPr="00E619C8" w:rsidRDefault="00E113EC">
            <w:pPr>
              <w:spacing w:line="300" w:lineRule="auto"/>
              <w:jc w:val="center"/>
              <w:rPr>
                <w:rFonts w:ascii="Arial" w:eastAsia="Arial" w:hAnsi="Arial" w:cs="Arial"/>
                <w:b/>
                <w:bCs/>
                <w:color w:val="FFFFFF"/>
                <w:sz w:val="14"/>
                <w:szCs w:val="14"/>
              </w:rPr>
            </w:pPr>
            <w:r w:rsidRPr="00E619C8">
              <w:rPr>
                <w:rFonts w:ascii="Arial" w:eastAsia="Arial" w:hAnsi="Arial" w:cs="Arial"/>
                <w:b/>
                <w:bCs/>
                <w:color w:val="FFFFFF"/>
                <w:sz w:val="14"/>
                <w:szCs w:val="14"/>
              </w:rPr>
              <w:t>Level</w:t>
            </w:r>
          </w:p>
        </w:tc>
        <w:tc>
          <w:tcPr>
            <w:tcW w:w="2220" w:type="dxa"/>
            <w:tcBorders>
              <w:top w:val="single" w:sz="6" w:space="0" w:color="000000"/>
              <w:left w:val="nil"/>
              <w:bottom w:val="single" w:sz="6" w:space="0" w:color="000000"/>
              <w:right w:val="single" w:sz="6" w:space="0" w:color="000000"/>
            </w:tcBorders>
            <w:shd w:val="clear" w:color="auto" w:fill="C00000"/>
            <w:tcMar>
              <w:top w:w="0" w:type="dxa"/>
              <w:left w:w="100" w:type="dxa"/>
              <w:bottom w:w="0" w:type="dxa"/>
              <w:right w:w="100" w:type="dxa"/>
            </w:tcMar>
          </w:tcPr>
          <w:p w14:paraId="77D5037A" w14:textId="77777777" w:rsidR="002033A5" w:rsidRPr="00E619C8" w:rsidRDefault="00E113EC">
            <w:pPr>
              <w:spacing w:line="300" w:lineRule="auto"/>
              <w:jc w:val="center"/>
              <w:rPr>
                <w:rFonts w:ascii="Arial" w:eastAsia="Arial" w:hAnsi="Arial" w:cs="Arial"/>
                <w:b/>
                <w:bCs/>
                <w:color w:val="FFFFFF"/>
                <w:sz w:val="14"/>
                <w:szCs w:val="14"/>
              </w:rPr>
            </w:pPr>
            <w:r w:rsidRPr="00E619C8">
              <w:rPr>
                <w:rFonts w:ascii="Arial" w:eastAsia="Arial" w:hAnsi="Arial" w:cs="Arial"/>
                <w:b/>
                <w:bCs/>
                <w:color w:val="FFFFFF"/>
                <w:sz w:val="14"/>
                <w:szCs w:val="14"/>
              </w:rPr>
              <w:t>Name</w:t>
            </w:r>
          </w:p>
        </w:tc>
        <w:tc>
          <w:tcPr>
            <w:tcW w:w="2985" w:type="dxa"/>
            <w:tcBorders>
              <w:top w:val="single" w:sz="6" w:space="0" w:color="000000"/>
              <w:left w:val="nil"/>
              <w:bottom w:val="single" w:sz="6" w:space="0" w:color="000000"/>
              <w:right w:val="single" w:sz="6" w:space="0" w:color="000000"/>
            </w:tcBorders>
            <w:shd w:val="clear" w:color="auto" w:fill="C00000"/>
            <w:tcMar>
              <w:top w:w="0" w:type="dxa"/>
              <w:left w:w="100" w:type="dxa"/>
              <w:bottom w:w="0" w:type="dxa"/>
              <w:right w:w="100" w:type="dxa"/>
            </w:tcMar>
          </w:tcPr>
          <w:p w14:paraId="41F35332" w14:textId="77777777" w:rsidR="002033A5" w:rsidRPr="00E619C8" w:rsidRDefault="00E113EC">
            <w:pPr>
              <w:spacing w:line="300" w:lineRule="auto"/>
              <w:jc w:val="center"/>
              <w:rPr>
                <w:rFonts w:ascii="Arial" w:eastAsia="Arial" w:hAnsi="Arial" w:cs="Arial"/>
                <w:b/>
                <w:bCs/>
                <w:color w:val="FFFFFF"/>
                <w:sz w:val="14"/>
                <w:szCs w:val="14"/>
              </w:rPr>
            </w:pPr>
            <w:r w:rsidRPr="00E619C8">
              <w:rPr>
                <w:rFonts w:ascii="Arial" w:eastAsia="Arial" w:hAnsi="Arial" w:cs="Arial"/>
                <w:b/>
                <w:bCs/>
                <w:color w:val="FFFFFF"/>
                <w:sz w:val="14"/>
                <w:szCs w:val="14"/>
              </w:rPr>
              <w:t>Description</w:t>
            </w:r>
          </w:p>
        </w:tc>
        <w:tc>
          <w:tcPr>
            <w:tcW w:w="1575" w:type="dxa"/>
            <w:tcBorders>
              <w:top w:val="single" w:sz="6" w:space="0" w:color="000000"/>
              <w:left w:val="nil"/>
              <w:bottom w:val="single" w:sz="6" w:space="0" w:color="000000"/>
              <w:right w:val="single" w:sz="6" w:space="0" w:color="000000"/>
            </w:tcBorders>
            <w:shd w:val="clear" w:color="auto" w:fill="C00000"/>
            <w:tcMar>
              <w:top w:w="0" w:type="dxa"/>
              <w:left w:w="100" w:type="dxa"/>
              <w:bottom w:w="0" w:type="dxa"/>
              <w:right w:w="100" w:type="dxa"/>
            </w:tcMar>
          </w:tcPr>
          <w:p w14:paraId="2ECB8E97" w14:textId="77777777" w:rsidR="002033A5" w:rsidRPr="00E619C8" w:rsidRDefault="00E113EC">
            <w:pPr>
              <w:spacing w:line="300" w:lineRule="auto"/>
              <w:jc w:val="center"/>
              <w:rPr>
                <w:rFonts w:ascii="Arial" w:eastAsia="Arial" w:hAnsi="Arial" w:cs="Arial"/>
                <w:b/>
                <w:bCs/>
                <w:color w:val="FFFFFF"/>
                <w:sz w:val="14"/>
                <w:szCs w:val="14"/>
              </w:rPr>
            </w:pPr>
            <w:r w:rsidRPr="00E619C8">
              <w:rPr>
                <w:rFonts w:ascii="Arial" w:eastAsia="Arial" w:hAnsi="Arial" w:cs="Arial"/>
                <w:b/>
                <w:bCs/>
                <w:color w:val="FFFFFF"/>
                <w:sz w:val="14"/>
                <w:szCs w:val="14"/>
              </w:rPr>
              <w:t>Indonesia - West Nusa Tenggara Score</w:t>
            </w:r>
          </w:p>
        </w:tc>
      </w:tr>
      <w:tr w:rsidR="002033A5" w:rsidRPr="00E619C8" w14:paraId="230F677F" w14:textId="77777777">
        <w:trPr>
          <w:trHeight w:val="645"/>
        </w:trPr>
        <w:tc>
          <w:tcPr>
            <w:tcW w:w="960" w:type="dxa"/>
            <w:tcBorders>
              <w:top w:val="nil"/>
              <w:left w:val="single" w:sz="6" w:space="0" w:color="000000"/>
              <w:bottom w:val="single" w:sz="6" w:space="0" w:color="000000"/>
              <w:right w:val="single" w:sz="6" w:space="0" w:color="000000"/>
            </w:tcBorders>
            <w:shd w:val="clear" w:color="auto" w:fill="C00000"/>
            <w:tcMar>
              <w:top w:w="0" w:type="dxa"/>
              <w:left w:w="100" w:type="dxa"/>
              <w:bottom w:w="0" w:type="dxa"/>
              <w:right w:w="100" w:type="dxa"/>
            </w:tcMar>
          </w:tcPr>
          <w:p w14:paraId="30540AEB" w14:textId="77777777" w:rsidR="002033A5" w:rsidRPr="00E619C8" w:rsidRDefault="00E113EC">
            <w:pPr>
              <w:spacing w:line="300" w:lineRule="auto"/>
              <w:jc w:val="center"/>
              <w:rPr>
                <w:rFonts w:ascii="Arial" w:eastAsia="Arial" w:hAnsi="Arial" w:cs="Arial"/>
                <w:b/>
                <w:bCs/>
                <w:sz w:val="14"/>
                <w:szCs w:val="14"/>
              </w:rPr>
            </w:pPr>
            <w:r w:rsidRPr="00E619C8">
              <w:rPr>
                <w:rFonts w:ascii="Arial" w:eastAsia="Arial" w:hAnsi="Arial" w:cs="Arial"/>
                <w:b/>
                <w:bCs/>
                <w:sz w:val="14"/>
                <w:szCs w:val="14"/>
              </w:rPr>
              <w:t xml:space="preserve"> </w:t>
            </w:r>
          </w:p>
        </w:tc>
        <w:tc>
          <w:tcPr>
            <w:tcW w:w="1245" w:type="dxa"/>
            <w:tcBorders>
              <w:top w:val="nil"/>
              <w:left w:val="nil"/>
              <w:bottom w:val="single" w:sz="6" w:space="0" w:color="000000"/>
              <w:right w:val="single" w:sz="6" w:space="0" w:color="000000"/>
            </w:tcBorders>
            <w:shd w:val="clear" w:color="auto" w:fill="C00000"/>
            <w:tcMar>
              <w:top w:w="0" w:type="dxa"/>
              <w:left w:w="100" w:type="dxa"/>
              <w:bottom w:w="0" w:type="dxa"/>
              <w:right w:w="100" w:type="dxa"/>
            </w:tcMar>
          </w:tcPr>
          <w:p w14:paraId="2333A8CC" w14:textId="77777777" w:rsidR="002033A5" w:rsidRPr="00E619C8" w:rsidRDefault="00E113EC">
            <w:pPr>
              <w:spacing w:line="300" w:lineRule="auto"/>
              <w:jc w:val="center"/>
              <w:rPr>
                <w:rFonts w:ascii="Arial" w:eastAsia="Arial" w:hAnsi="Arial" w:cs="Arial"/>
                <w:b/>
                <w:bCs/>
                <w:sz w:val="14"/>
                <w:szCs w:val="14"/>
              </w:rPr>
            </w:pPr>
            <w:r w:rsidRPr="00E619C8">
              <w:rPr>
                <w:rFonts w:ascii="Arial" w:eastAsia="Arial" w:hAnsi="Arial" w:cs="Arial"/>
                <w:b/>
                <w:bCs/>
                <w:sz w:val="14"/>
                <w:szCs w:val="14"/>
              </w:rPr>
              <w:t xml:space="preserve"> </w:t>
            </w:r>
          </w:p>
        </w:tc>
        <w:tc>
          <w:tcPr>
            <w:tcW w:w="2220" w:type="dxa"/>
            <w:tcBorders>
              <w:top w:val="nil"/>
              <w:left w:val="nil"/>
              <w:bottom w:val="single" w:sz="6" w:space="0" w:color="000000"/>
              <w:right w:val="single" w:sz="6" w:space="0" w:color="000000"/>
            </w:tcBorders>
            <w:shd w:val="clear" w:color="auto" w:fill="C00000"/>
            <w:tcMar>
              <w:top w:w="0" w:type="dxa"/>
              <w:left w:w="100" w:type="dxa"/>
              <w:bottom w:w="0" w:type="dxa"/>
              <w:right w:w="100" w:type="dxa"/>
            </w:tcMar>
          </w:tcPr>
          <w:p w14:paraId="0FDF6245" w14:textId="7733D6A4" w:rsidR="002033A5" w:rsidRPr="00E619C8" w:rsidRDefault="00702DCB">
            <w:pPr>
              <w:spacing w:line="300" w:lineRule="auto"/>
              <w:jc w:val="both"/>
              <w:rPr>
                <w:rFonts w:ascii="Arial" w:eastAsia="Arial" w:hAnsi="Arial" w:cs="Arial"/>
                <w:b/>
                <w:bCs/>
                <w:color w:val="FFFFFF"/>
                <w:sz w:val="14"/>
                <w:szCs w:val="14"/>
              </w:rPr>
            </w:pPr>
            <w:r w:rsidRPr="00E619C8">
              <w:rPr>
                <w:rFonts w:ascii="Arial" w:eastAsia="Arial" w:hAnsi="Arial" w:cs="Arial"/>
                <w:b/>
                <w:bCs/>
                <w:color w:val="FFFFFF"/>
                <w:sz w:val="14"/>
                <w:szCs w:val="14"/>
              </w:rPr>
              <w:t>Sub-national ITI Score</w:t>
            </w:r>
          </w:p>
        </w:tc>
        <w:tc>
          <w:tcPr>
            <w:tcW w:w="2985" w:type="dxa"/>
            <w:tcBorders>
              <w:top w:val="nil"/>
              <w:left w:val="nil"/>
              <w:bottom w:val="single" w:sz="6" w:space="0" w:color="000000"/>
              <w:right w:val="single" w:sz="6" w:space="0" w:color="000000"/>
            </w:tcBorders>
            <w:shd w:val="clear" w:color="auto" w:fill="C00000"/>
            <w:tcMar>
              <w:top w:w="0" w:type="dxa"/>
              <w:left w:w="100" w:type="dxa"/>
              <w:bottom w:w="0" w:type="dxa"/>
              <w:right w:w="100" w:type="dxa"/>
            </w:tcMar>
          </w:tcPr>
          <w:p w14:paraId="07C9A179" w14:textId="77777777" w:rsidR="002033A5" w:rsidRPr="00E619C8" w:rsidRDefault="00E113EC">
            <w:pPr>
              <w:spacing w:line="300" w:lineRule="auto"/>
              <w:jc w:val="center"/>
              <w:rPr>
                <w:rFonts w:ascii="Arial" w:eastAsia="Arial" w:hAnsi="Arial" w:cs="Arial"/>
                <w:b/>
                <w:bCs/>
                <w:sz w:val="14"/>
                <w:szCs w:val="14"/>
              </w:rPr>
            </w:pPr>
            <w:r w:rsidRPr="00E619C8">
              <w:rPr>
                <w:rFonts w:ascii="Arial" w:eastAsia="Arial" w:hAnsi="Arial" w:cs="Arial"/>
                <w:b/>
                <w:bCs/>
                <w:sz w:val="14"/>
                <w:szCs w:val="14"/>
              </w:rPr>
              <w:t xml:space="preserve"> </w:t>
            </w:r>
          </w:p>
        </w:tc>
        <w:tc>
          <w:tcPr>
            <w:tcW w:w="1575" w:type="dxa"/>
            <w:tcBorders>
              <w:top w:val="nil"/>
              <w:left w:val="nil"/>
              <w:bottom w:val="single" w:sz="6" w:space="0" w:color="000000"/>
              <w:right w:val="single" w:sz="6" w:space="0" w:color="000000"/>
            </w:tcBorders>
            <w:shd w:val="clear" w:color="auto" w:fill="C00000"/>
            <w:tcMar>
              <w:top w:w="0" w:type="dxa"/>
              <w:left w:w="100" w:type="dxa"/>
              <w:bottom w:w="0" w:type="dxa"/>
              <w:right w:w="100" w:type="dxa"/>
            </w:tcMar>
          </w:tcPr>
          <w:p w14:paraId="5D445F78" w14:textId="77777777" w:rsidR="002033A5" w:rsidRPr="00E619C8" w:rsidRDefault="00E113EC">
            <w:pPr>
              <w:spacing w:line="300" w:lineRule="auto"/>
              <w:jc w:val="center"/>
              <w:rPr>
                <w:rFonts w:ascii="Arial" w:eastAsia="Arial" w:hAnsi="Arial" w:cs="Arial"/>
                <w:b/>
                <w:bCs/>
                <w:color w:val="FFFFFF"/>
                <w:sz w:val="14"/>
                <w:szCs w:val="14"/>
              </w:rPr>
            </w:pPr>
            <w:r w:rsidRPr="00E619C8">
              <w:rPr>
                <w:rFonts w:ascii="Arial" w:eastAsia="Arial" w:hAnsi="Arial" w:cs="Arial"/>
                <w:b/>
                <w:bCs/>
                <w:color w:val="FFFFFF"/>
                <w:sz w:val="14"/>
                <w:szCs w:val="14"/>
              </w:rPr>
              <w:t>40,16</w:t>
            </w:r>
          </w:p>
        </w:tc>
      </w:tr>
      <w:tr w:rsidR="002033A5" w:rsidRPr="00E619C8" w14:paraId="07692407" w14:textId="77777777">
        <w:trPr>
          <w:trHeight w:val="840"/>
        </w:trPr>
        <w:tc>
          <w:tcPr>
            <w:tcW w:w="960" w:type="dxa"/>
            <w:tcBorders>
              <w:top w:val="nil"/>
              <w:left w:val="single" w:sz="6" w:space="0" w:color="000000"/>
              <w:bottom w:val="single" w:sz="6" w:space="0" w:color="000000"/>
              <w:right w:val="single" w:sz="6" w:space="0" w:color="000000"/>
            </w:tcBorders>
            <w:shd w:val="clear" w:color="auto" w:fill="808080"/>
            <w:tcMar>
              <w:top w:w="0" w:type="dxa"/>
              <w:left w:w="100" w:type="dxa"/>
              <w:bottom w:w="0" w:type="dxa"/>
              <w:right w:w="100" w:type="dxa"/>
            </w:tcMar>
          </w:tcPr>
          <w:p w14:paraId="21023201" w14:textId="77777777" w:rsidR="002033A5" w:rsidRPr="00E619C8" w:rsidRDefault="00E113EC">
            <w:pPr>
              <w:spacing w:line="300" w:lineRule="auto"/>
              <w:jc w:val="both"/>
              <w:rPr>
                <w:rFonts w:ascii="Arial" w:eastAsia="Arial" w:hAnsi="Arial" w:cs="Arial"/>
                <w:color w:val="FFFFFF"/>
                <w:sz w:val="14"/>
                <w:szCs w:val="14"/>
              </w:rPr>
            </w:pPr>
            <w:r w:rsidRPr="00E619C8">
              <w:rPr>
                <w:rFonts w:ascii="Arial" w:eastAsia="Arial" w:hAnsi="Arial" w:cs="Arial"/>
                <w:color w:val="FFFFFF"/>
                <w:sz w:val="14"/>
                <w:szCs w:val="14"/>
              </w:rPr>
              <w:t>1</w:t>
            </w:r>
          </w:p>
        </w:tc>
        <w:tc>
          <w:tcPr>
            <w:tcW w:w="1245" w:type="dxa"/>
            <w:tcBorders>
              <w:top w:val="nil"/>
              <w:left w:val="nil"/>
              <w:bottom w:val="single" w:sz="6" w:space="0" w:color="000000"/>
              <w:right w:val="single" w:sz="6" w:space="0" w:color="000000"/>
            </w:tcBorders>
            <w:shd w:val="clear" w:color="auto" w:fill="808080"/>
            <w:tcMar>
              <w:top w:w="0" w:type="dxa"/>
              <w:left w:w="100" w:type="dxa"/>
              <w:bottom w:w="0" w:type="dxa"/>
              <w:right w:w="100" w:type="dxa"/>
            </w:tcMar>
          </w:tcPr>
          <w:p w14:paraId="6C45130C" w14:textId="77777777" w:rsidR="002033A5" w:rsidRPr="00E619C8" w:rsidRDefault="00E113EC">
            <w:pPr>
              <w:spacing w:line="300" w:lineRule="auto"/>
              <w:jc w:val="both"/>
              <w:rPr>
                <w:rFonts w:ascii="Arial" w:eastAsia="Arial" w:hAnsi="Arial" w:cs="Arial"/>
                <w:color w:val="FFFFFF"/>
                <w:sz w:val="14"/>
                <w:szCs w:val="14"/>
              </w:rPr>
            </w:pPr>
            <w:r w:rsidRPr="00E619C8">
              <w:rPr>
                <w:rFonts w:ascii="Arial" w:eastAsia="Arial" w:hAnsi="Arial" w:cs="Arial"/>
                <w:color w:val="FFFFFF"/>
                <w:sz w:val="14"/>
                <w:szCs w:val="14"/>
              </w:rPr>
              <w:t>Dimension</w:t>
            </w:r>
          </w:p>
        </w:tc>
        <w:tc>
          <w:tcPr>
            <w:tcW w:w="2220" w:type="dxa"/>
            <w:tcBorders>
              <w:top w:val="nil"/>
              <w:left w:val="nil"/>
              <w:bottom w:val="single" w:sz="6" w:space="0" w:color="000000"/>
              <w:right w:val="single" w:sz="6" w:space="0" w:color="000000"/>
            </w:tcBorders>
            <w:shd w:val="clear" w:color="auto" w:fill="808080"/>
            <w:tcMar>
              <w:top w:w="0" w:type="dxa"/>
              <w:left w:w="100" w:type="dxa"/>
              <w:bottom w:w="0" w:type="dxa"/>
              <w:right w:w="100" w:type="dxa"/>
            </w:tcMar>
          </w:tcPr>
          <w:p w14:paraId="30F8A687" w14:textId="77777777" w:rsidR="002033A5" w:rsidRPr="00E619C8" w:rsidRDefault="00E113EC">
            <w:pPr>
              <w:spacing w:line="300" w:lineRule="auto"/>
              <w:jc w:val="both"/>
              <w:rPr>
                <w:rFonts w:ascii="Arial" w:eastAsia="Arial" w:hAnsi="Arial" w:cs="Arial"/>
                <w:color w:val="FFFFFF"/>
                <w:sz w:val="14"/>
                <w:szCs w:val="14"/>
              </w:rPr>
            </w:pPr>
            <w:r w:rsidRPr="00E619C8">
              <w:rPr>
                <w:rFonts w:ascii="Arial" w:eastAsia="Arial" w:hAnsi="Arial" w:cs="Arial"/>
                <w:color w:val="FFFFFF"/>
                <w:sz w:val="14"/>
                <w:szCs w:val="14"/>
              </w:rPr>
              <w:t>Enabling environment</w:t>
            </w:r>
          </w:p>
        </w:tc>
        <w:tc>
          <w:tcPr>
            <w:tcW w:w="2985" w:type="dxa"/>
            <w:tcBorders>
              <w:top w:val="nil"/>
              <w:left w:val="nil"/>
              <w:bottom w:val="single" w:sz="6" w:space="0" w:color="000000"/>
              <w:right w:val="single" w:sz="6" w:space="0" w:color="000000"/>
            </w:tcBorders>
            <w:shd w:val="clear" w:color="auto" w:fill="808080"/>
            <w:tcMar>
              <w:top w:w="0" w:type="dxa"/>
              <w:left w:w="100" w:type="dxa"/>
              <w:bottom w:w="0" w:type="dxa"/>
              <w:right w:w="100" w:type="dxa"/>
            </w:tcMar>
          </w:tcPr>
          <w:p w14:paraId="4E194390" w14:textId="131B20C4" w:rsidR="002033A5" w:rsidRPr="00E619C8" w:rsidRDefault="00E113EC">
            <w:pPr>
              <w:spacing w:line="300" w:lineRule="auto"/>
              <w:jc w:val="both"/>
              <w:rPr>
                <w:rFonts w:ascii="Arial" w:eastAsia="Arial" w:hAnsi="Arial" w:cs="Arial"/>
                <w:color w:val="FFFFFF"/>
                <w:sz w:val="14"/>
                <w:szCs w:val="14"/>
              </w:rPr>
            </w:pPr>
            <w:r w:rsidRPr="00E619C8">
              <w:rPr>
                <w:rFonts w:ascii="Arial" w:eastAsia="Arial" w:hAnsi="Arial" w:cs="Arial"/>
                <w:color w:val="FFFFFF"/>
                <w:sz w:val="14"/>
                <w:szCs w:val="14"/>
              </w:rPr>
              <w:t>Evaluates national or sub-national conditions enabling transparency for the infrastructure sector</w:t>
            </w:r>
            <w:r w:rsidR="00032227">
              <w:rPr>
                <w:rFonts w:ascii="Arial" w:eastAsia="Arial" w:hAnsi="Arial" w:cs="Arial"/>
                <w:color w:val="FFFFFF"/>
                <w:sz w:val="14"/>
                <w:szCs w:val="14"/>
              </w:rPr>
              <w:t>,</w:t>
            </w:r>
            <w:r w:rsidRPr="00E619C8">
              <w:rPr>
                <w:rFonts w:ascii="Arial" w:eastAsia="Arial" w:hAnsi="Arial" w:cs="Arial"/>
                <w:color w:val="FFFFFF"/>
                <w:sz w:val="14"/>
                <w:szCs w:val="14"/>
              </w:rPr>
              <w:t xml:space="preserve"> considering the legal and regulatory framework and the centralised digital information tools.</w:t>
            </w:r>
          </w:p>
        </w:tc>
        <w:tc>
          <w:tcPr>
            <w:tcW w:w="1575" w:type="dxa"/>
            <w:tcBorders>
              <w:top w:val="nil"/>
              <w:left w:val="nil"/>
              <w:bottom w:val="single" w:sz="6" w:space="0" w:color="000000"/>
              <w:right w:val="single" w:sz="6" w:space="0" w:color="000000"/>
            </w:tcBorders>
            <w:shd w:val="clear" w:color="auto" w:fill="808080"/>
            <w:tcMar>
              <w:top w:w="0" w:type="dxa"/>
              <w:left w:w="100" w:type="dxa"/>
              <w:bottom w:w="0" w:type="dxa"/>
              <w:right w:w="100" w:type="dxa"/>
            </w:tcMar>
          </w:tcPr>
          <w:p w14:paraId="3A41BFD5" w14:textId="77777777" w:rsidR="002033A5" w:rsidRPr="00E619C8" w:rsidRDefault="00E113EC">
            <w:pPr>
              <w:spacing w:line="300" w:lineRule="auto"/>
              <w:jc w:val="center"/>
              <w:rPr>
                <w:rFonts w:ascii="Arial" w:eastAsia="Arial" w:hAnsi="Arial" w:cs="Arial"/>
                <w:b/>
                <w:bCs/>
                <w:color w:val="FFFFFF"/>
                <w:sz w:val="16"/>
                <w:szCs w:val="16"/>
              </w:rPr>
            </w:pPr>
            <w:r w:rsidRPr="00E619C8">
              <w:rPr>
                <w:rFonts w:ascii="Arial" w:eastAsia="Arial" w:hAnsi="Arial" w:cs="Arial"/>
                <w:b/>
                <w:bCs/>
                <w:color w:val="FFFFFF"/>
                <w:sz w:val="16"/>
                <w:szCs w:val="16"/>
              </w:rPr>
              <w:t>56,60</w:t>
            </w:r>
          </w:p>
        </w:tc>
      </w:tr>
      <w:tr w:rsidR="002033A5" w:rsidRPr="00E619C8" w14:paraId="6E536D10" w14:textId="77777777">
        <w:trPr>
          <w:trHeight w:val="480"/>
        </w:trPr>
        <w:tc>
          <w:tcPr>
            <w:tcW w:w="960" w:type="dxa"/>
            <w:tcBorders>
              <w:top w:val="nil"/>
              <w:left w:val="single" w:sz="6" w:space="0" w:color="000000"/>
              <w:bottom w:val="single" w:sz="6" w:space="0" w:color="000000"/>
              <w:right w:val="single" w:sz="6" w:space="0" w:color="000000"/>
            </w:tcBorders>
            <w:shd w:val="clear" w:color="auto" w:fill="A6A6A6"/>
            <w:tcMar>
              <w:top w:w="0" w:type="dxa"/>
              <w:left w:w="100" w:type="dxa"/>
              <w:bottom w:w="0" w:type="dxa"/>
              <w:right w:w="100" w:type="dxa"/>
            </w:tcMar>
          </w:tcPr>
          <w:p w14:paraId="6797C541"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1,1</w:t>
            </w:r>
          </w:p>
        </w:tc>
        <w:tc>
          <w:tcPr>
            <w:tcW w:w="1245" w:type="dxa"/>
            <w:tcBorders>
              <w:top w:val="nil"/>
              <w:left w:val="nil"/>
              <w:bottom w:val="single" w:sz="6" w:space="0" w:color="000000"/>
              <w:right w:val="single" w:sz="6" w:space="0" w:color="000000"/>
            </w:tcBorders>
            <w:shd w:val="clear" w:color="auto" w:fill="A6A6A6"/>
            <w:tcMar>
              <w:top w:w="0" w:type="dxa"/>
              <w:left w:w="100" w:type="dxa"/>
              <w:bottom w:w="0" w:type="dxa"/>
              <w:right w:w="100" w:type="dxa"/>
            </w:tcMar>
          </w:tcPr>
          <w:p w14:paraId="44774EF7"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Variable</w:t>
            </w:r>
          </w:p>
        </w:tc>
        <w:tc>
          <w:tcPr>
            <w:tcW w:w="2220" w:type="dxa"/>
            <w:tcBorders>
              <w:top w:val="nil"/>
              <w:left w:val="nil"/>
              <w:bottom w:val="single" w:sz="6" w:space="0" w:color="000000"/>
              <w:right w:val="single" w:sz="6" w:space="0" w:color="000000"/>
            </w:tcBorders>
            <w:shd w:val="clear" w:color="auto" w:fill="A6A6A6"/>
            <w:tcMar>
              <w:top w:w="0" w:type="dxa"/>
              <w:left w:w="100" w:type="dxa"/>
              <w:bottom w:w="0" w:type="dxa"/>
              <w:right w:w="100" w:type="dxa"/>
            </w:tcMar>
          </w:tcPr>
          <w:p w14:paraId="301D3957"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Legal framework and digital tools</w:t>
            </w:r>
          </w:p>
        </w:tc>
        <w:tc>
          <w:tcPr>
            <w:tcW w:w="2985" w:type="dxa"/>
            <w:tcBorders>
              <w:top w:val="nil"/>
              <w:left w:val="nil"/>
              <w:bottom w:val="single" w:sz="6" w:space="0" w:color="000000"/>
              <w:right w:val="single" w:sz="6" w:space="0" w:color="000000"/>
            </w:tcBorders>
            <w:shd w:val="clear" w:color="auto" w:fill="A6A6A6"/>
            <w:tcMar>
              <w:top w:w="0" w:type="dxa"/>
              <w:left w:w="100" w:type="dxa"/>
              <w:bottom w:w="0" w:type="dxa"/>
              <w:right w:w="100" w:type="dxa"/>
            </w:tcMar>
          </w:tcPr>
          <w:p w14:paraId="6C2D8FC0" w14:textId="77777777" w:rsidR="002033A5" w:rsidRPr="00E619C8" w:rsidRDefault="00E113EC">
            <w:pPr>
              <w:spacing w:line="300" w:lineRule="auto"/>
              <w:jc w:val="both"/>
              <w:rPr>
                <w:rFonts w:ascii="Arial" w:eastAsia="Arial" w:hAnsi="Arial" w:cs="Arial"/>
                <w:sz w:val="20"/>
                <w:szCs w:val="20"/>
              </w:rPr>
            </w:pPr>
            <w:r w:rsidRPr="00E619C8">
              <w:rPr>
                <w:rFonts w:ascii="Arial" w:eastAsia="Arial" w:hAnsi="Arial" w:cs="Arial"/>
                <w:sz w:val="20"/>
                <w:szCs w:val="20"/>
              </w:rPr>
              <w:t xml:space="preserve"> </w:t>
            </w:r>
          </w:p>
        </w:tc>
        <w:tc>
          <w:tcPr>
            <w:tcW w:w="1575" w:type="dxa"/>
            <w:tcBorders>
              <w:top w:val="nil"/>
              <w:left w:val="nil"/>
              <w:bottom w:val="single" w:sz="6" w:space="0" w:color="000000"/>
              <w:right w:val="single" w:sz="6" w:space="0" w:color="000000"/>
            </w:tcBorders>
            <w:shd w:val="clear" w:color="auto" w:fill="A6A6A6"/>
            <w:tcMar>
              <w:top w:w="0" w:type="dxa"/>
              <w:left w:w="100" w:type="dxa"/>
              <w:bottom w:w="0" w:type="dxa"/>
              <w:right w:w="100" w:type="dxa"/>
            </w:tcMar>
          </w:tcPr>
          <w:p w14:paraId="2AF0AE17" w14:textId="77777777" w:rsidR="002033A5" w:rsidRPr="00E619C8" w:rsidRDefault="00E113EC">
            <w:pPr>
              <w:spacing w:line="300" w:lineRule="auto"/>
              <w:jc w:val="center"/>
              <w:rPr>
                <w:rFonts w:ascii="Arial" w:eastAsia="Arial" w:hAnsi="Arial" w:cs="Arial"/>
                <w:b/>
                <w:bCs/>
                <w:color w:val="FFFFFF"/>
                <w:sz w:val="16"/>
                <w:szCs w:val="16"/>
              </w:rPr>
            </w:pPr>
            <w:r w:rsidRPr="00E619C8">
              <w:rPr>
                <w:rFonts w:ascii="Arial" w:eastAsia="Arial" w:hAnsi="Arial" w:cs="Arial"/>
                <w:b/>
                <w:bCs/>
                <w:sz w:val="16"/>
                <w:szCs w:val="16"/>
              </w:rPr>
              <w:t>56,60</w:t>
            </w:r>
          </w:p>
        </w:tc>
      </w:tr>
      <w:tr w:rsidR="002033A5" w:rsidRPr="00E619C8" w14:paraId="32E1B393" w14:textId="77777777">
        <w:trPr>
          <w:trHeight w:val="675"/>
        </w:trPr>
        <w:tc>
          <w:tcPr>
            <w:tcW w:w="96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118BEE4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1.1.1</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40420AF7"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Sub-variable</w:t>
            </w:r>
          </w:p>
        </w:tc>
        <w:tc>
          <w:tcPr>
            <w:tcW w:w="2220" w:type="dxa"/>
            <w:tcBorders>
              <w:top w:val="nil"/>
              <w:left w:val="nil"/>
              <w:bottom w:val="single" w:sz="6" w:space="0" w:color="000000"/>
              <w:right w:val="nil"/>
            </w:tcBorders>
            <w:shd w:val="clear" w:color="auto" w:fill="D9D9D9"/>
            <w:tcMar>
              <w:top w:w="0" w:type="dxa"/>
              <w:left w:w="100" w:type="dxa"/>
              <w:bottom w:w="0" w:type="dxa"/>
              <w:right w:w="100" w:type="dxa"/>
            </w:tcMar>
          </w:tcPr>
          <w:p w14:paraId="40AB7D66" w14:textId="5664BC80"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Access to </w:t>
            </w:r>
            <w:r w:rsidR="00032227">
              <w:rPr>
                <w:rFonts w:ascii="Arial" w:eastAsia="Arial" w:hAnsi="Arial" w:cs="Arial"/>
                <w:sz w:val="14"/>
                <w:szCs w:val="14"/>
              </w:rPr>
              <w:t xml:space="preserve">the </w:t>
            </w:r>
            <w:r w:rsidRPr="00E619C8">
              <w:rPr>
                <w:rFonts w:ascii="Arial" w:eastAsia="Arial" w:hAnsi="Arial" w:cs="Arial"/>
                <w:sz w:val="14"/>
                <w:szCs w:val="14"/>
              </w:rPr>
              <w:t>public information regulatory framework</w:t>
            </w:r>
          </w:p>
        </w:tc>
        <w:tc>
          <w:tcPr>
            <w:tcW w:w="2985"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0DF67977"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Evaluates the existence of a national regulation on access to public information, or other related regulation, relevant to the infrastructure sector.</w:t>
            </w:r>
          </w:p>
        </w:tc>
        <w:tc>
          <w:tcPr>
            <w:tcW w:w="157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439E81AD"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80,00</w:t>
            </w:r>
          </w:p>
        </w:tc>
      </w:tr>
      <w:tr w:rsidR="002033A5" w:rsidRPr="00E619C8" w14:paraId="307A3C2F" w14:textId="77777777" w:rsidTr="00B21013">
        <w:trPr>
          <w:trHeight w:val="100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vAlign w:val="center"/>
          </w:tcPr>
          <w:p w14:paraId="17B2CD32" w14:textId="77777777" w:rsidR="002033A5" w:rsidRPr="00E619C8" w:rsidRDefault="00E113EC" w:rsidP="00B21013">
            <w:pPr>
              <w:spacing w:line="300" w:lineRule="auto"/>
              <w:jc w:val="center"/>
              <w:rPr>
                <w:rFonts w:ascii="Arial" w:eastAsia="Arial" w:hAnsi="Arial" w:cs="Arial"/>
                <w:sz w:val="14"/>
                <w:szCs w:val="14"/>
              </w:rPr>
            </w:pPr>
            <w:r w:rsidRPr="00E619C8">
              <w:rPr>
                <w:rFonts w:ascii="Arial" w:eastAsia="Arial" w:hAnsi="Arial" w:cs="Arial"/>
                <w:sz w:val="14"/>
                <w:szCs w:val="14"/>
              </w:rPr>
              <w:t>1.1.1.1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4176B2E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01B95907" w14:textId="09BB707C" w:rsidR="002033A5" w:rsidRPr="00E619C8" w:rsidRDefault="00032227">
            <w:pPr>
              <w:spacing w:line="300" w:lineRule="auto"/>
              <w:jc w:val="both"/>
              <w:rPr>
                <w:rFonts w:ascii="Arial" w:eastAsia="Arial" w:hAnsi="Arial" w:cs="Arial"/>
                <w:sz w:val="14"/>
                <w:szCs w:val="14"/>
              </w:rPr>
            </w:pPr>
            <w:r>
              <w:rPr>
                <w:rFonts w:ascii="Arial" w:eastAsia="Arial" w:hAnsi="Arial" w:cs="Arial"/>
                <w:sz w:val="14"/>
                <w:szCs w:val="14"/>
              </w:rPr>
              <w:t>Access-to-public-information</w:t>
            </w:r>
            <w:r w:rsidR="00E113EC" w:rsidRPr="00E619C8">
              <w:rPr>
                <w:rFonts w:ascii="Arial" w:eastAsia="Arial" w:hAnsi="Arial" w:cs="Arial"/>
                <w:sz w:val="14"/>
                <w:szCs w:val="14"/>
              </w:rPr>
              <w:t xml:space="preserve"> law</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3E991B9D" w14:textId="09645F0C"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There is a national law that guarantees </w:t>
            </w:r>
            <w:r w:rsidR="00032227">
              <w:rPr>
                <w:rFonts w:ascii="Arial" w:eastAsia="Arial" w:hAnsi="Arial" w:cs="Arial"/>
                <w:sz w:val="14"/>
                <w:szCs w:val="14"/>
              </w:rPr>
              <w:t xml:space="preserve">access to public information in all public sector institutions, which applies to all material held by or on behalf of public authorities, with only a </w:t>
            </w:r>
            <w:r w:rsidRPr="00E619C8">
              <w:rPr>
                <w:rFonts w:ascii="Arial" w:eastAsia="Arial" w:hAnsi="Arial" w:cs="Arial"/>
                <w:sz w:val="14"/>
                <w:szCs w:val="14"/>
              </w:rPr>
              <w:t>few exceptions contained in the same law.</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12C5271D"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100,00</w:t>
            </w:r>
          </w:p>
        </w:tc>
      </w:tr>
      <w:tr w:rsidR="002033A5" w:rsidRPr="00E619C8" w14:paraId="47E20C16" w14:textId="77777777">
        <w:trPr>
          <w:trHeight w:val="166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6396D6"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1.1.1.2</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739E7FA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229544A7"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Right to request public information</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537779A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There exists within the national legal framework the right of citizens to request and obtain non-published public information with</w:t>
            </w:r>
            <w:r w:rsidRPr="00E619C8">
              <w:rPr>
                <w:rFonts w:ascii="Arial" w:eastAsia="Arial" w:hAnsi="Arial" w:cs="Arial"/>
                <w:sz w:val="14"/>
                <w:szCs w:val="14"/>
              </w:rPr>
              <w:br/>
              <w:t xml:space="preserve"> · access to both information and records/documents</w:t>
            </w:r>
            <w:r w:rsidRPr="00E619C8">
              <w:rPr>
                <w:rFonts w:ascii="Arial" w:eastAsia="Arial" w:hAnsi="Arial" w:cs="Arial"/>
                <w:sz w:val="14"/>
                <w:szCs w:val="14"/>
              </w:rPr>
              <w:br/>
              <w:t xml:space="preserve"> · no need to provide reasons for their requests</w:t>
            </w:r>
            <w:r w:rsidRPr="00E619C8">
              <w:rPr>
                <w:rFonts w:ascii="Arial" w:eastAsia="Arial" w:hAnsi="Arial" w:cs="Arial"/>
                <w:sz w:val="14"/>
                <w:szCs w:val="14"/>
              </w:rPr>
              <w:br/>
              <w:t xml:space="preserve"> · clear maximum timelines</w:t>
            </w:r>
            <w:r w:rsidRPr="00E619C8">
              <w:rPr>
                <w:rFonts w:ascii="Arial" w:eastAsia="Arial" w:hAnsi="Arial" w:cs="Arial"/>
                <w:sz w:val="14"/>
                <w:szCs w:val="14"/>
              </w:rPr>
              <w:br/>
              <w:t xml:space="preserve"> · access to all public institutions.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2983FF33"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80,00</w:t>
            </w:r>
          </w:p>
        </w:tc>
      </w:tr>
      <w:tr w:rsidR="002033A5" w:rsidRPr="00E619C8" w14:paraId="1ED57E90" w14:textId="77777777">
        <w:trPr>
          <w:trHeight w:val="72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5F6898C"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1.1.1.3</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1E07ACBC"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277A58DA" w14:textId="2A7544F0"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Sanctions </w:t>
            </w:r>
            <w:r w:rsidR="00DF0763">
              <w:rPr>
                <w:rFonts w:ascii="Arial" w:eastAsia="Arial" w:hAnsi="Arial" w:cs="Arial"/>
                <w:sz w:val="14"/>
                <w:szCs w:val="14"/>
              </w:rPr>
              <w:t>for</w:t>
            </w:r>
            <w:r w:rsidRPr="00E619C8">
              <w:rPr>
                <w:rFonts w:ascii="Arial" w:eastAsia="Arial" w:hAnsi="Arial" w:cs="Arial"/>
                <w:sz w:val="14"/>
                <w:szCs w:val="14"/>
              </w:rPr>
              <w:t xml:space="preserve"> non-compliance with access to public information mandates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1BAF71A6" w14:textId="7F789078"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Within the national legal framework</w:t>
            </w:r>
            <w:r w:rsidR="00DF0763">
              <w:rPr>
                <w:rFonts w:ascii="Arial" w:eastAsia="Arial" w:hAnsi="Arial" w:cs="Arial"/>
                <w:sz w:val="14"/>
                <w:szCs w:val="14"/>
              </w:rPr>
              <w:t>, there are sanctions for non-compliance with</w:t>
            </w:r>
            <w:r w:rsidRPr="00E619C8">
              <w:rPr>
                <w:rFonts w:ascii="Arial" w:eastAsia="Arial" w:hAnsi="Arial" w:cs="Arial"/>
                <w:sz w:val="14"/>
                <w:szCs w:val="14"/>
              </w:rPr>
              <w:t xml:space="preserve"> proactive and reactive disclosure of information.</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34A7A79A"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100,00</w:t>
            </w:r>
          </w:p>
        </w:tc>
      </w:tr>
      <w:tr w:rsidR="002033A5" w:rsidRPr="00E619C8" w14:paraId="042CDE06" w14:textId="77777777">
        <w:trPr>
          <w:trHeight w:val="133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6515F4"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1.1.1.4</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640821F5"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270B98A2" w14:textId="263381BE" w:rsidR="002033A5" w:rsidRPr="00E619C8" w:rsidRDefault="00DF0763">
            <w:pPr>
              <w:spacing w:line="300" w:lineRule="auto"/>
              <w:jc w:val="both"/>
              <w:rPr>
                <w:rFonts w:ascii="Arial" w:eastAsia="Arial" w:hAnsi="Arial" w:cs="Arial"/>
                <w:sz w:val="14"/>
                <w:szCs w:val="14"/>
              </w:rPr>
            </w:pPr>
            <w:r>
              <w:rPr>
                <w:rFonts w:ascii="Arial" w:eastAsia="Arial" w:hAnsi="Arial" w:cs="Arial"/>
                <w:sz w:val="14"/>
                <w:szCs w:val="14"/>
              </w:rPr>
              <w:t>The organisation</w:t>
            </w:r>
            <w:r w:rsidR="00E113EC" w:rsidRPr="00E619C8">
              <w:rPr>
                <w:rFonts w:ascii="Arial" w:eastAsia="Arial" w:hAnsi="Arial" w:cs="Arial"/>
                <w:sz w:val="14"/>
                <w:szCs w:val="14"/>
              </w:rPr>
              <w:t xml:space="preserve"> guaranteeing the sanctions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02EB5686" w14:textId="2BE25079"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Within the national legal framework</w:t>
            </w:r>
            <w:r w:rsidR="00837972">
              <w:rPr>
                <w:rFonts w:ascii="Arial" w:eastAsia="Arial" w:hAnsi="Arial" w:cs="Arial"/>
                <w:sz w:val="14"/>
                <w:szCs w:val="14"/>
              </w:rPr>
              <w:t>,</w:t>
            </w:r>
            <w:r w:rsidRPr="00E619C8">
              <w:rPr>
                <w:rFonts w:ascii="Arial" w:eastAsia="Arial" w:hAnsi="Arial" w:cs="Arial"/>
                <w:sz w:val="14"/>
                <w:szCs w:val="14"/>
              </w:rPr>
              <w:t xml:space="preserve"> there are organisations or mechanisms that are</w:t>
            </w:r>
            <w:r w:rsidRPr="00E619C8">
              <w:rPr>
                <w:rFonts w:ascii="Arial" w:eastAsia="Arial" w:hAnsi="Arial" w:cs="Arial"/>
                <w:sz w:val="14"/>
                <w:szCs w:val="14"/>
              </w:rPr>
              <w:br/>
              <w:t xml:space="preserve"> · protected against political and financial interference</w:t>
            </w:r>
            <w:r w:rsidRPr="00E619C8">
              <w:rPr>
                <w:rFonts w:ascii="Arial" w:eastAsia="Arial" w:hAnsi="Arial" w:cs="Arial"/>
                <w:sz w:val="14"/>
                <w:szCs w:val="14"/>
              </w:rPr>
              <w:br/>
              <w:t xml:space="preserve"> · responsible for overseeing the compliance </w:t>
            </w:r>
            <w:r w:rsidR="004F2F01">
              <w:rPr>
                <w:rFonts w:ascii="Arial" w:eastAsia="Arial" w:hAnsi="Arial" w:cs="Arial"/>
                <w:sz w:val="14"/>
                <w:szCs w:val="14"/>
              </w:rPr>
              <w:t>with</w:t>
            </w:r>
            <w:r w:rsidRPr="00E619C8">
              <w:rPr>
                <w:rFonts w:ascii="Arial" w:eastAsia="Arial" w:hAnsi="Arial" w:cs="Arial"/>
                <w:sz w:val="14"/>
                <w:szCs w:val="14"/>
              </w:rPr>
              <w:t xml:space="preserve"> access-to-information requirements</w:t>
            </w:r>
            <w:r w:rsidRPr="00E619C8">
              <w:rPr>
                <w:rFonts w:ascii="Arial" w:eastAsia="Arial" w:hAnsi="Arial" w:cs="Arial"/>
                <w:sz w:val="14"/>
                <w:szCs w:val="14"/>
              </w:rPr>
              <w:br/>
              <w:t xml:space="preserve"> · compliant with the sanctions determined by law.</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1962F3BA"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40,00</w:t>
            </w:r>
          </w:p>
        </w:tc>
      </w:tr>
      <w:tr w:rsidR="002033A5" w:rsidRPr="00E619C8" w14:paraId="2B8817E2" w14:textId="77777777">
        <w:trPr>
          <w:trHeight w:val="840"/>
        </w:trPr>
        <w:tc>
          <w:tcPr>
            <w:tcW w:w="96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84E402E"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1.1.2</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D0100CB"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Sub-variable</w:t>
            </w:r>
          </w:p>
        </w:tc>
        <w:tc>
          <w:tcPr>
            <w:tcW w:w="222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2A887504"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Transparency standards in the public infrastructure sector</w:t>
            </w:r>
          </w:p>
        </w:tc>
        <w:tc>
          <w:tcPr>
            <w:tcW w:w="29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4FFDEB4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Evaluates the existence of laws and regulations that guarantee access to information in accordance with a transparency data standard for public infrastructure.</w:t>
            </w:r>
          </w:p>
        </w:tc>
        <w:tc>
          <w:tcPr>
            <w:tcW w:w="157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B38C270"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44,00</w:t>
            </w:r>
          </w:p>
        </w:tc>
      </w:tr>
      <w:tr w:rsidR="002033A5" w:rsidRPr="00E619C8" w14:paraId="1A67F7DB" w14:textId="77777777">
        <w:trPr>
          <w:trHeight w:val="67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F0900BC"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1.1.2.1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376DF8A6"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10E8D5AB"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Proactive publication of information on public procurement processes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4F59C109"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There is a national act or regulation that guarantees proactive disclosure of public procurement information in all public sector institutions.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414F4DC9"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100,00</w:t>
            </w:r>
          </w:p>
        </w:tc>
      </w:tr>
      <w:tr w:rsidR="002033A5" w:rsidRPr="00E619C8" w14:paraId="22447317" w14:textId="77777777">
        <w:trPr>
          <w:trHeight w:val="67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9C4C40"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1.1.2.2</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0425F5D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3F55E51E"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Proactive publication of information on public infrastructure projects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5D4394D3"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There is a national act or regulation that guarantees proactive disclosure on public infrastructure projects in all public sector institutions.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04B15632"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60,00</w:t>
            </w:r>
          </w:p>
        </w:tc>
      </w:tr>
      <w:tr w:rsidR="002033A5" w:rsidRPr="00E619C8" w14:paraId="6D25B65D" w14:textId="77777777">
        <w:trPr>
          <w:trHeight w:val="117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6FFF24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1.1.2.3</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13FF4F9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449DF321"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Infrastructure data disclosure standard</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7A85228F" w14:textId="5CE8584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There is a national act or regulation that defines a data disclosure standard in public infrastructure (such as a formal disclosure requirement (FDR) requesting the data of CoST IDS or OC4IDS), that must be complied with by all national or sub-national procuring entities.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608BC587"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7786FD4B" w14:textId="77777777">
        <w:trPr>
          <w:trHeight w:val="72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D2045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1.1.2.4</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45FCA544"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085CF5A0"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Infrastructure data disclosure standard proactively published as open data</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7147BF6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national act or regulation with the infrastructure data disclosure standard requests proactive disclosure of infrastructure projects as open data.</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6885FEA5"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5244A17D" w14:textId="77777777">
        <w:trPr>
          <w:trHeight w:val="84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0B02208"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1.1.2.5</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50164314"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01183C9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Organisation responsible for the infrastructure data disclosure standard</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19DA57E3" w14:textId="75BCE2EB"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Within the law or regulation</w:t>
            </w:r>
            <w:r w:rsidR="004F2F01">
              <w:rPr>
                <w:rFonts w:ascii="Arial" w:eastAsia="Arial" w:hAnsi="Arial" w:cs="Arial"/>
                <w:sz w:val="14"/>
                <w:szCs w:val="14"/>
              </w:rPr>
              <w:t>,</w:t>
            </w:r>
            <w:r w:rsidRPr="00E619C8">
              <w:rPr>
                <w:rFonts w:ascii="Arial" w:eastAsia="Arial" w:hAnsi="Arial" w:cs="Arial"/>
                <w:sz w:val="14"/>
                <w:szCs w:val="14"/>
              </w:rPr>
              <w:t xml:space="preserve"> there is an organisation responsible for overseeing compliance </w:t>
            </w:r>
            <w:r w:rsidR="00DE53E7">
              <w:rPr>
                <w:rFonts w:ascii="Arial" w:eastAsia="Arial" w:hAnsi="Arial" w:cs="Arial"/>
                <w:sz w:val="14"/>
                <w:szCs w:val="14"/>
              </w:rPr>
              <w:t>with</w:t>
            </w:r>
            <w:r w:rsidRPr="00E619C8">
              <w:rPr>
                <w:rFonts w:ascii="Arial" w:eastAsia="Arial" w:hAnsi="Arial" w:cs="Arial"/>
                <w:sz w:val="14"/>
                <w:szCs w:val="14"/>
              </w:rPr>
              <w:t xml:space="preserve"> the publication of information according to the infrastructure data disclosure standard.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686A54D0"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60,00</w:t>
            </w:r>
          </w:p>
        </w:tc>
      </w:tr>
      <w:tr w:rsidR="002033A5" w:rsidRPr="00E619C8" w14:paraId="116D966B" w14:textId="77777777">
        <w:trPr>
          <w:trHeight w:val="645"/>
        </w:trPr>
        <w:tc>
          <w:tcPr>
            <w:tcW w:w="96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2DF42C8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1.1.3</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0B5DE588"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Sub-variable</w:t>
            </w:r>
          </w:p>
        </w:tc>
        <w:tc>
          <w:tcPr>
            <w:tcW w:w="222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2C3B50C0"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National digital information tools</w:t>
            </w:r>
          </w:p>
        </w:tc>
        <w:tc>
          <w:tcPr>
            <w:tcW w:w="29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A958E05"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Evaluates the availability of national digital tools that facilitate transparency in public infrastructure.</w:t>
            </w:r>
          </w:p>
        </w:tc>
        <w:tc>
          <w:tcPr>
            <w:tcW w:w="157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6763F77"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50,00</w:t>
            </w:r>
          </w:p>
        </w:tc>
      </w:tr>
      <w:tr w:rsidR="002033A5" w:rsidRPr="00E619C8" w14:paraId="044274F7"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43046B6"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1.1.3.1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3B1584AA"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438F51B6"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Centralised digital information platforms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6C3E98CB"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There are centralised national or sub-national digital platforms with information on public infrastructure projects.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3878903E"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60,00</w:t>
            </w:r>
          </w:p>
        </w:tc>
      </w:tr>
      <w:tr w:rsidR="002033A5" w:rsidRPr="00E619C8" w14:paraId="7DD2F68F" w14:textId="77777777">
        <w:trPr>
          <w:trHeight w:val="84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48DE46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1.1.3.2</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5280E205"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356BAB0A"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Easy access to information in digital information platforms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7E8D749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information that offers the details of public infrastructure projects, used for example for verification reports, is easily accessible, complete and available in an orderly manner in digital format.</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13BE125B"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80,00</w:t>
            </w:r>
          </w:p>
        </w:tc>
      </w:tr>
      <w:tr w:rsidR="002033A5" w:rsidRPr="00E619C8" w14:paraId="78DBF308" w14:textId="77777777">
        <w:trPr>
          <w:trHeight w:val="100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149D36C"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1.1.3.3</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2840994C"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5145C1E3"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Infrastructure projects geographic information system (GIS) platform</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7C2C1407" w14:textId="3E939FBD"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There is a web platform tailored to the needs of citizens that allows</w:t>
            </w:r>
            <w:r w:rsidR="004F2F01">
              <w:rPr>
                <w:rFonts w:ascii="Arial" w:eastAsia="Arial" w:hAnsi="Arial" w:cs="Arial"/>
                <w:sz w:val="14"/>
                <w:szCs w:val="14"/>
              </w:rPr>
              <w:t>,</w:t>
            </w:r>
            <w:r w:rsidRPr="00E619C8">
              <w:rPr>
                <w:rFonts w:ascii="Arial" w:eastAsia="Arial" w:hAnsi="Arial" w:cs="Arial"/>
                <w:sz w:val="14"/>
                <w:szCs w:val="14"/>
              </w:rPr>
              <w:t xml:space="preserve"> in a simple and visual manner, access to a GIS database of infrastructure projects with key information on works under execution or recently executed.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42094655"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599BD9C3" w14:textId="77777777">
        <w:trPr>
          <w:trHeight w:val="510"/>
        </w:trPr>
        <w:tc>
          <w:tcPr>
            <w:tcW w:w="960" w:type="dxa"/>
            <w:tcBorders>
              <w:top w:val="nil"/>
              <w:left w:val="single" w:sz="6" w:space="0" w:color="000000"/>
              <w:bottom w:val="single" w:sz="6" w:space="0" w:color="000000"/>
              <w:right w:val="single" w:sz="6" w:space="0" w:color="000000"/>
            </w:tcBorders>
            <w:shd w:val="clear" w:color="auto" w:fill="808080"/>
            <w:tcMar>
              <w:top w:w="0" w:type="dxa"/>
              <w:left w:w="100" w:type="dxa"/>
              <w:bottom w:w="0" w:type="dxa"/>
              <w:right w:w="100" w:type="dxa"/>
            </w:tcMar>
          </w:tcPr>
          <w:p w14:paraId="2907770A" w14:textId="77777777" w:rsidR="002033A5" w:rsidRPr="00E619C8" w:rsidRDefault="00E113EC">
            <w:pPr>
              <w:spacing w:line="300" w:lineRule="auto"/>
              <w:jc w:val="center"/>
              <w:rPr>
                <w:rFonts w:ascii="Arial" w:eastAsia="Arial" w:hAnsi="Arial" w:cs="Arial"/>
                <w:color w:val="FFFFFF"/>
                <w:sz w:val="14"/>
                <w:szCs w:val="14"/>
              </w:rPr>
            </w:pPr>
            <w:r w:rsidRPr="00E619C8">
              <w:rPr>
                <w:rFonts w:ascii="Arial" w:eastAsia="Arial" w:hAnsi="Arial" w:cs="Arial"/>
                <w:color w:val="FFFFFF"/>
                <w:sz w:val="14"/>
                <w:szCs w:val="14"/>
              </w:rPr>
              <w:t>2</w:t>
            </w:r>
          </w:p>
        </w:tc>
        <w:tc>
          <w:tcPr>
            <w:tcW w:w="1245" w:type="dxa"/>
            <w:tcBorders>
              <w:top w:val="nil"/>
              <w:left w:val="nil"/>
              <w:bottom w:val="single" w:sz="6" w:space="0" w:color="000000"/>
              <w:right w:val="single" w:sz="6" w:space="0" w:color="000000"/>
            </w:tcBorders>
            <w:shd w:val="clear" w:color="auto" w:fill="808080"/>
            <w:tcMar>
              <w:top w:w="0" w:type="dxa"/>
              <w:left w:w="100" w:type="dxa"/>
              <w:bottom w:w="0" w:type="dxa"/>
              <w:right w:w="100" w:type="dxa"/>
            </w:tcMar>
          </w:tcPr>
          <w:p w14:paraId="1E6E7B26" w14:textId="77777777" w:rsidR="002033A5" w:rsidRPr="00E619C8" w:rsidRDefault="00E113EC">
            <w:pPr>
              <w:spacing w:line="300" w:lineRule="auto"/>
              <w:jc w:val="both"/>
              <w:rPr>
                <w:rFonts w:ascii="Arial" w:eastAsia="Arial" w:hAnsi="Arial" w:cs="Arial"/>
                <w:color w:val="FFFFFF"/>
                <w:sz w:val="14"/>
                <w:szCs w:val="14"/>
              </w:rPr>
            </w:pPr>
            <w:r w:rsidRPr="00E619C8">
              <w:rPr>
                <w:rFonts w:ascii="Arial" w:eastAsia="Arial" w:hAnsi="Arial" w:cs="Arial"/>
                <w:color w:val="FFFFFF"/>
                <w:sz w:val="14"/>
                <w:szCs w:val="14"/>
              </w:rPr>
              <w:t>Dimension</w:t>
            </w:r>
          </w:p>
        </w:tc>
        <w:tc>
          <w:tcPr>
            <w:tcW w:w="2220" w:type="dxa"/>
            <w:tcBorders>
              <w:top w:val="nil"/>
              <w:left w:val="nil"/>
              <w:bottom w:val="single" w:sz="6" w:space="0" w:color="000000"/>
              <w:right w:val="single" w:sz="6" w:space="0" w:color="000000"/>
            </w:tcBorders>
            <w:shd w:val="clear" w:color="auto" w:fill="808080"/>
            <w:tcMar>
              <w:top w:w="0" w:type="dxa"/>
              <w:left w:w="100" w:type="dxa"/>
              <w:bottom w:w="0" w:type="dxa"/>
              <w:right w:w="100" w:type="dxa"/>
            </w:tcMar>
          </w:tcPr>
          <w:p w14:paraId="0F772358" w14:textId="77777777" w:rsidR="002033A5" w:rsidRPr="00E619C8" w:rsidRDefault="00E113EC">
            <w:pPr>
              <w:spacing w:line="300" w:lineRule="auto"/>
              <w:jc w:val="both"/>
              <w:rPr>
                <w:rFonts w:ascii="Arial" w:eastAsia="Arial" w:hAnsi="Arial" w:cs="Arial"/>
                <w:color w:val="FFFFFF"/>
                <w:sz w:val="14"/>
                <w:szCs w:val="14"/>
              </w:rPr>
            </w:pPr>
            <w:r w:rsidRPr="00E619C8">
              <w:rPr>
                <w:rFonts w:ascii="Arial" w:eastAsia="Arial" w:hAnsi="Arial" w:cs="Arial"/>
                <w:color w:val="FFFFFF"/>
                <w:sz w:val="14"/>
                <w:szCs w:val="14"/>
              </w:rPr>
              <w:t>Capacities and processes</w:t>
            </w:r>
          </w:p>
        </w:tc>
        <w:tc>
          <w:tcPr>
            <w:tcW w:w="2985" w:type="dxa"/>
            <w:tcBorders>
              <w:top w:val="nil"/>
              <w:left w:val="nil"/>
              <w:bottom w:val="single" w:sz="6" w:space="0" w:color="000000"/>
              <w:right w:val="single" w:sz="6" w:space="0" w:color="000000"/>
            </w:tcBorders>
            <w:shd w:val="clear" w:color="auto" w:fill="808080"/>
            <w:tcMar>
              <w:top w:w="0" w:type="dxa"/>
              <w:left w:w="100" w:type="dxa"/>
              <w:bottom w:w="0" w:type="dxa"/>
              <w:right w:w="100" w:type="dxa"/>
            </w:tcMar>
          </w:tcPr>
          <w:p w14:paraId="6893A5D5" w14:textId="77777777" w:rsidR="002033A5" w:rsidRPr="00E619C8" w:rsidRDefault="00E113EC">
            <w:pPr>
              <w:spacing w:line="300" w:lineRule="auto"/>
              <w:jc w:val="both"/>
              <w:rPr>
                <w:rFonts w:ascii="Arial" w:eastAsia="Arial" w:hAnsi="Arial" w:cs="Arial"/>
                <w:color w:val="FFFFFF"/>
                <w:sz w:val="14"/>
                <w:szCs w:val="14"/>
              </w:rPr>
            </w:pPr>
            <w:r w:rsidRPr="00E619C8">
              <w:rPr>
                <w:rFonts w:ascii="Arial" w:eastAsia="Arial" w:hAnsi="Arial" w:cs="Arial"/>
                <w:color w:val="FFFFFF"/>
                <w:sz w:val="14"/>
                <w:szCs w:val="14"/>
              </w:rPr>
              <w:t>Evaluates the soundness of procuring entities’ procedures and capacities to disclose data and information.</w:t>
            </w:r>
          </w:p>
        </w:tc>
        <w:tc>
          <w:tcPr>
            <w:tcW w:w="1575" w:type="dxa"/>
            <w:tcBorders>
              <w:top w:val="nil"/>
              <w:left w:val="nil"/>
              <w:bottom w:val="single" w:sz="6" w:space="0" w:color="000000"/>
              <w:right w:val="single" w:sz="6" w:space="0" w:color="000000"/>
            </w:tcBorders>
            <w:shd w:val="clear" w:color="auto" w:fill="808080"/>
            <w:tcMar>
              <w:top w:w="0" w:type="dxa"/>
              <w:left w:w="100" w:type="dxa"/>
              <w:bottom w:w="0" w:type="dxa"/>
              <w:right w:w="100" w:type="dxa"/>
            </w:tcMar>
          </w:tcPr>
          <w:p w14:paraId="034DC56F" w14:textId="77777777" w:rsidR="002033A5" w:rsidRPr="00E619C8" w:rsidRDefault="00E113EC">
            <w:pPr>
              <w:spacing w:line="300" w:lineRule="auto"/>
              <w:jc w:val="center"/>
              <w:rPr>
                <w:rFonts w:ascii="Arial" w:eastAsia="Arial" w:hAnsi="Arial" w:cs="Arial"/>
                <w:b/>
                <w:bCs/>
                <w:color w:val="FFFFFF"/>
                <w:sz w:val="16"/>
                <w:szCs w:val="16"/>
              </w:rPr>
            </w:pPr>
            <w:r w:rsidRPr="00E619C8">
              <w:rPr>
                <w:rFonts w:ascii="Arial" w:eastAsia="Arial" w:hAnsi="Arial" w:cs="Arial"/>
                <w:b/>
                <w:bCs/>
                <w:color w:val="FFFFFF"/>
                <w:sz w:val="16"/>
                <w:szCs w:val="16"/>
              </w:rPr>
              <w:t>48,30</w:t>
            </w:r>
          </w:p>
        </w:tc>
      </w:tr>
      <w:tr w:rsidR="002033A5" w:rsidRPr="00E619C8" w14:paraId="26DBCDAC" w14:textId="77777777">
        <w:trPr>
          <w:trHeight w:val="480"/>
        </w:trPr>
        <w:tc>
          <w:tcPr>
            <w:tcW w:w="960" w:type="dxa"/>
            <w:tcBorders>
              <w:top w:val="nil"/>
              <w:left w:val="single" w:sz="6" w:space="0" w:color="000000"/>
              <w:bottom w:val="single" w:sz="6" w:space="0" w:color="000000"/>
              <w:right w:val="single" w:sz="6" w:space="0" w:color="000000"/>
            </w:tcBorders>
            <w:shd w:val="clear" w:color="auto" w:fill="A6A6A6"/>
            <w:tcMar>
              <w:top w:w="0" w:type="dxa"/>
              <w:left w:w="100" w:type="dxa"/>
              <w:bottom w:w="0" w:type="dxa"/>
              <w:right w:w="100" w:type="dxa"/>
            </w:tcMar>
          </w:tcPr>
          <w:p w14:paraId="4AFDEEA6"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2,1</w:t>
            </w:r>
          </w:p>
        </w:tc>
        <w:tc>
          <w:tcPr>
            <w:tcW w:w="1245" w:type="dxa"/>
            <w:tcBorders>
              <w:top w:val="nil"/>
              <w:left w:val="nil"/>
              <w:bottom w:val="single" w:sz="6" w:space="0" w:color="000000"/>
              <w:right w:val="single" w:sz="6" w:space="0" w:color="000000"/>
            </w:tcBorders>
            <w:shd w:val="clear" w:color="auto" w:fill="A6A6A6"/>
            <w:tcMar>
              <w:top w:w="0" w:type="dxa"/>
              <w:left w:w="100" w:type="dxa"/>
              <w:bottom w:w="0" w:type="dxa"/>
              <w:right w:w="100" w:type="dxa"/>
            </w:tcMar>
          </w:tcPr>
          <w:p w14:paraId="0AB93AD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Variable</w:t>
            </w:r>
          </w:p>
        </w:tc>
        <w:tc>
          <w:tcPr>
            <w:tcW w:w="2220" w:type="dxa"/>
            <w:tcBorders>
              <w:top w:val="nil"/>
              <w:left w:val="nil"/>
              <w:bottom w:val="single" w:sz="6" w:space="0" w:color="000000"/>
              <w:right w:val="single" w:sz="6" w:space="0" w:color="000000"/>
            </w:tcBorders>
            <w:shd w:val="clear" w:color="auto" w:fill="A6A6A6"/>
            <w:tcMar>
              <w:top w:w="0" w:type="dxa"/>
              <w:left w:w="100" w:type="dxa"/>
              <w:bottom w:w="0" w:type="dxa"/>
              <w:right w:w="100" w:type="dxa"/>
            </w:tcMar>
          </w:tcPr>
          <w:p w14:paraId="7F13DA9E"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Institutional capacities</w:t>
            </w:r>
          </w:p>
        </w:tc>
        <w:tc>
          <w:tcPr>
            <w:tcW w:w="2985" w:type="dxa"/>
            <w:tcBorders>
              <w:top w:val="nil"/>
              <w:left w:val="nil"/>
              <w:bottom w:val="single" w:sz="6" w:space="0" w:color="000000"/>
              <w:right w:val="single" w:sz="6" w:space="0" w:color="000000"/>
            </w:tcBorders>
            <w:shd w:val="clear" w:color="auto" w:fill="A6A6A6"/>
            <w:tcMar>
              <w:top w:w="0" w:type="dxa"/>
              <w:left w:w="100" w:type="dxa"/>
              <w:bottom w:w="0" w:type="dxa"/>
              <w:right w:w="100" w:type="dxa"/>
            </w:tcMar>
          </w:tcPr>
          <w:p w14:paraId="37B6D14A" w14:textId="77777777" w:rsidR="002033A5" w:rsidRPr="00E619C8" w:rsidRDefault="00E113EC">
            <w:pPr>
              <w:spacing w:line="300" w:lineRule="auto"/>
              <w:jc w:val="both"/>
              <w:rPr>
                <w:rFonts w:ascii="Arial" w:eastAsia="Arial" w:hAnsi="Arial" w:cs="Arial"/>
                <w:sz w:val="20"/>
                <w:szCs w:val="20"/>
              </w:rPr>
            </w:pPr>
            <w:r w:rsidRPr="00E619C8">
              <w:rPr>
                <w:rFonts w:ascii="Arial" w:eastAsia="Arial" w:hAnsi="Arial" w:cs="Arial"/>
                <w:sz w:val="20"/>
                <w:szCs w:val="20"/>
              </w:rPr>
              <w:t xml:space="preserve"> </w:t>
            </w:r>
          </w:p>
        </w:tc>
        <w:tc>
          <w:tcPr>
            <w:tcW w:w="1575" w:type="dxa"/>
            <w:tcBorders>
              <w:top w:val="nil"/>
              <w:left w:val="nil"/>
              <w:bottom w:val="single" w:sz="6" w:space="0" w:color="000000"/>
              <w:right w:val="single" w:sz="6" w:space="0" w:color="000000"/>
            </w:tcBorders>
            <w:shd w:val="clear" w:color="auto" w:fill="A6A6A6"/>
            <w:tcMar>
              <w:top w:w="0" w:type="dxa"/>
              <w:left w:w="100" w:type="dxa"/>
              <w:bottom w:w="0" w:type="dxa"/>
              <w:right w:w="100" w:type="dxa"/>
            </w:tcMar>
          </w:tcPr>
          <w:p w14:paraId="7B87E151" w14:textId="77777777" w:rsidR="002033A5" w:rsidRPr="00E619C8" w:rsidRDefault="00E113EC">
            <w:pPr>
              <w:spacing w:line="300" w:lineRule="auto"/>
              <w:jc w:val="center"/>
              <w:rPr>
                <w:rFonts w:ascii="Arial" w:eastAsia="Arial" w:hAnsi="Arial" w:cs="Arial"/>
                <w:b/>
                <w:bCs/>
                <w:color w:val="FFFFFF"/>
                <w:sz w:val="16"/>
                <w:szCs w:val="16"/>
              </w:rPr>
            </w:pPr>
            <w:r w:rsidRPr="00E619C8">
              <w:rPr>
                <w:rFonts w:ascii="Arial" w:eastAsia="Arial" w:hAnsi="Arial" w:cs="Arial"/>
                <w:b/>
                <w:bCs/>
                <w:sz w:val="16"/>
                <w:szCs w:val="16"/>
              </w:rPr>
              <w:t>57,79</w:t>
            </w:r>
          </w:p>
        </w:tc>
      </w:tr>
      <w:tr w:rsidR="002033A5" w:rsidRPr="00E619C8" w14:paraId="68384AC7" w14:textId="77777777">
        <w:trPr>
          <w:trHeight w:val="510"/>
        </w:trPr>
        <w:tc>
          <w:tcPr>
            <w:tcW w:w="96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596E12E1"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2.1.1</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ED721F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Sub-variable</w:t>
            </w:r>
          </w:p>
        </w:tc>
        <w:tc>
          <w:tcPr>
            <w:tcW w:w="222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4E3E237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Basic knowledge</w:t>
            </w:r>
          </w:p>
        </w:tc>
        <w:tc>
          <w:tcPr>
            <w:tcW w:w="29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40E2A0DC"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Assesses the knowledge of public officers on subjects of access to information and transparency in public infrastructure.</w:t>
            </w:r>
          </w:p>
        </w:tc>
        <w:tc>
          <w:tcPr>
            <w:tcW w:w="157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141E699"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47,16</w:t>
            </w:r>
          </w:p>
        </w:tc>
      </w:tr>
      <w:tr w:rsidR="002033A5" w:rsidRPr="00E619C8" w14:paraId="4A5489DC"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299B445"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2.1.1.1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6DA59E3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05B2C9EC"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Knowledge about the access-to-information law</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36F90979"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officer who completes the survey knows the national access-to-information law on public information and the main provisions.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0AED3D47"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63,16</w:t>
            </w:r>
          </w:p>
        </w:tc>
      </w:tr>
      <w:tr w:rsidR="002033A5" w:rsidRPr="00E619C8" w14:paraId="4084B2C1" w14:textId="77777777">
        <w:trPr>
          <w:trHeight w:val="67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8399830"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2.1.1.2</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4490260E"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6910BEE6"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Knowledge about transparency initiatives in the infrastructure sector</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42787943"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officer who completes the survey knows the existence of the transparency initiatives in the infrastructure sector and their objectives.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22D0D4E9"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24,21</w:t>
            </w:r>
          </w:p>
        </w:tc>
      </w:tr>
      <w:tr w:rsidR="002033A5" w:rsidRPr="00E619C8" w14:paraId="6699AF8F" w14:textId="77777777">
        <w:trPr>
          <w:trHeight w:val="72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DCA7439"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2.1.1.3</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1AD98DF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27272B39"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Knowledge about the transparency data standard in the infrastructure sector</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24B1E6E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officer who completes the survey knows the national or sub-national transparency data standard for the infrastructure sector and its requirements.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57F4D4EF"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24,21</w:t>
            </w:r>
          </w:p>
        </w:tc>
      </w:tr>
      <w:tr w:rsidR="002033A5" w:rsidRPr="00E619C8" w14:paraId="0A0D1893" w14:textId="77777777">
        <w:trPr>
          <w:trHeight w:val="72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0F0FFE1"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2.1.1.4</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2895290A"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7D54375A" w14:textId="48322085"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Knowledge about sanctions due to non-compliance </w:t>
            </w:r>
            <w:r w:rsidR="004F2F01">
              <w:rPr>
                <w:rFonts w:ascii="Arial" w:eastAsia="Arial" w:hAnsi="Arial" w:cs="Arial"/>
                <w:sz w:val="14"/>
                <w:szCs w:val="14"/>
              </w:rPr>
              <w:t>with</w:t>
            </w:r>
            <w:r w:rsidRPr="00E619C8">
              <w:rPr>
                <w:rFonts w:ascii="Arial" w:eastAsia="Arial" w:hAnsi="Arial" w:cs="Arial"/>
                <w:sz w:val="14"/>
                <w:szCs w:val="14"/>
              </w:rPr>
              <w:t xml:space="preserve"> the access-to-public-information law</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22DC65EB"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officer who completes the survey knows the sanctions applied for non-compliance with the standards of access to public information and/or State contracts.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7C3EA356"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55,79</w:t>
            </w:r>
          </w:p>
        </w:tc>
      </w:tr>
      <w:tr w:rsidR="002033A5" w:rsidRPr="00E619C8" w14:paraId="5CCA7984" w14:textId="77777777">
        <w:trPr>
          <w:trHeight w:val="84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747C52"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2.1.1.5</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16D2231E"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1699FAC3"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Knowledge about different data categories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2C35BB8B"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officer who completes the survey knows what constitutes and the differences between: public data, personal data, sensitive data, confidential data and reserved data.</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24689FE2"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68,42</w:t>
            </w:r>
          </w:p>
        </w:tc>
      </w:tr>
      <w:tr w:rsidR="002033A5" w:rsidRPr="00E619C8" w14:paraId="766E00BC" w14:textId="77777777">
        <w:trPr>
          <w:trHeight w:val="510"/>
        </w:trPr>
        <w:tc>
          <w:tcPr>
            <w:tcW w:w="96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5EA4A3AE"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2.1.2</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D28252C"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Sub-variable</w:t>
            </w:r>
          </w:p>
        </w:tc>
        <w:tc>
          <w:tcPr>
            <w:tcW w:w="222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3826F675"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Digital capacities</w:t>
            </w:r>
          </w:p>
        </w:tc>
        <w:tc>
          <w:tcPr>
            <w:tcW w:w="29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49C9A884"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Assesses institutional capacities on the use of digital technologies to facilitate efficiency and transparency.</w:t>
            </w:r>
          </w:p>
        </w:tc>
        <w:tc>
          <w:tcPr>
            <w:tcW w:w="157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852AAC4"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68,42</w:t>
            </w:r>
          </w:p>
        </w:tc>
      </w:tr>
      <w:tr w:rsidR="002033A5" w:rsidRPr="00E619C8" w14:paraId="56B5D856"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51F1CD6"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2.1.2.1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45A23733"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7B2C8A4C"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Computer equipment</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76C27F97"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entity has computer equipment for all personnel performing any type of administrative work.</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1EA5B8F9"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69,47</w:t>
            </w:r>
          </w:p>
        </w:tc>
      </w:tr>
      <w:tr w:rsidR="002033A5" w:rsidRPr="00E619C8" w14:paraId="09918B0C"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93937B5"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2.1.2.2</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431AD3C6"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773B3588"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Connectivity to the internet</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3581A41C" w14:textId="0CCA18A2"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The entity has an internet connection that offers an adequate bandwidth for the </w:t>
            </w:r>
            <w:r w:rsidR="001C35A8">
              <w:rPr>
                <w:rFonts w:ascii="Arial" w:eastAsia="Arial" w:hAnsi="Arial" w:cs="Arial"/>
                <w:sz w:val="14"/>
                <w:szCs w:val="14"/>
              </w:rPr>
              <w:t>system's</w:t>
            </w:r>
            <w:r w:rsidRPr="00E619C8">
              <w:rPr>
                <w:rFonts w:ascii="Arial" w:eastAsia="Arial" w:hAnsi="Arial" w:cs="Arial"/>
                <w:sz w:val="14"/>
                <w:szCs w:val="14"/>
              </w:rPr>
              <w:t xml:space="preserve"> operations and the personnel.</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498189D5"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85,26</w:t>
            </w:r>
          </w:p>
        </w:tc>
      </w:tr>
      <w:tr w:rsidR="002033A5" w:rsidRPr="00E619C8" w14:paraId="1453496B"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F8FF698"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2.1.2.3</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40F3F7A4"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A7020EC"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Institutional website</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6AABEF79"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institution has its own website and is capable of managing its content and services in real time.</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610EEAD1"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89,47</w:t>
            </w:r>
          </w:p>
        </w:tc>
      </w:tr>
      <w:tr w:rsidR="002033A5" w:rsidRPr="00E619C8" w14:paraId="1CDEB962"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343A27"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2.1.2.4</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20A7D16C"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6119DB3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Information systems for infrastructure projects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37FCF6E0"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institution has a digital system to record all information related to public infrastructure projects.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7E97B3EE"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63,16</w:t>
            </w:r>
          </w:p>
        </w:tc>
      </w:tr>
      <w:tr w:rsidR="002033A5" w:rsidRPr="00E619C8" w14:paraId="3897D1D5"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7AAB1C"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2.1.2.5</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28032817"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1C25C8C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Use of digital information systems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7095677E"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Officers use available digital systems for activities related to public infrastructure projects.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2EB032C1"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67,37</w:t>
            </w:r>
          </w:p>
        </w:tc>
      </w:tr>
      <w:tr w:rsidR="002033A5" w:rsidRPr="00E619C8" w14:paraId="78CDF8FB" w14:textId="77777777">
        <w:trPr>
          <w:trHeight w:val="150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59A94D"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2.1.2.6</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11C0CF69"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2CE199DB"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Infrastructure open data publication</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65D82E90" w14:textId="6A417806"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The entity publishes information </w:t>
            </w:r>
            <w:r w:rsidR="001C35A8">
              <w:rPr>
                <w:rFonts w:ascii="Arial" w:eastAsia="Arial" w:hAnsi="Arial" w:cs="Arial"/>
                <w:sz w:val="14"/>
                <w:szCs w:val="14"/>
              </w:rPr>
              <w:t>on</w:t>
            </w:r>
            <w:r w:rsidRPr="00E619C8">
              <w:rPr>
                <w:rFonts w:ascii="Arial" w:eastAsia="Arial" w:hAnsi="Arial" w:cs="Arial"/>
                <w:sz w:val="14"/>
                <w:szCs w:val="14"/>
              </w:rPr>
              <w:t xml:space="preserve"> its infrastructure projects in this format, complying with the following conditions:</w:t>
            </w:r>
            <w:r w:rsidRPr="00E619C8">
              <w:rPr>
                <w:rFonts w:ascii="Arial" w:eastAsia="Arial" w:hAnsi="Arial" w:cs="Arial"/>
                <w:sz w:val="14"/>
                <w:szCs w:val="14"/>
              </w:rPr>
              <w:br/>
              <w:t xml:space="preserve"> · tabulated</w:t>
            </w:r>
            <w:r w:rsidRPr="00E619C8">
              <w:rPr>
                <w:rFonts w:ascii="Arial" w:eastAsia="Arial" w:hAnsi="Arial" w:cs="Arial"/>
                <w:sz w:val="14"/>
                <w:szCs w:val="14"/>
              </w:rPr>
              <w:br/>
              <w:t xml:space="preserve"> · updated</w:t>
            </w:r>
            <w:r w:rsidRPr="00E619C8">
              <w:rPr>
                <w:rFonts w:ascii="Arial" w:eastAsia="Arial" w:hAnsi="Arial" w:cs="Arial"/>
                <w:sz w:val="14"/>
                <w:szCs w:val="14"/>
              </w:rPr>
              <w:br/>
              <w:t xml:space="preserve"> · complete</w:t>
            </w:r>
            <w:r w:rsidRPr="00E619C8">
              <w:rPr>
                <w:rFonts w:ascii="Arial" w:eastAsia="Arial" w:hAnsi="Arial" w:cs="Arial"/>
                <w:sz w:val="14"/>
                <w:szCs w:val="14"/>
              </w:rPr>
              <w:br/>
              <w:t xml:space="preserve"> · processable by computer</w:t>
            </w:r>
            <w:r w:rsidRPr="00E619C8">
              <w:rPr>
                <w:rFonts w:ascii="Arial" w:eastAsia="Arial" w:hAnsi="Arial" w:cs="Arial"/>
                <w:sz w:val="14"/>
                <w:szCs w:val="14"/>
              </w:rPr>
              <w:br/>
              <w:t xml:space="preserve"> · free of payment</w:t>
            </w:r>
            <w:r w:rsidRPr="00E619C8">
              <w:rPr>
                <w:rFonts w:ascii="Arial" w:eastAsia="Arial" w:hAnsi="Arial" w:cs="Arial"/>
                <w:sz w:val="14"/>
                <w:szCs w:val="14"/>
              </w:rPr>
              <w:br/>
              <w:t xml:space="preserve"> · with a license allowing their free use.</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317F3982"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44,21</w:t>
            </w:r>
          </w:p>
        </w:tc>
      </w:tr>
      <w:tr w:rsidR="002033A5" w:rsidRPr="00E619C8" w14:paraId="0879B0B1" w14:textId="77777777">
        <w:trPr>
          <w:trHeight w:val="67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0D59D56"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2.1.2.7</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6E01B226"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shd w:val="clear" w:color="auto" w:fill="FFFFFF"/>
            <w:tcMar>
              <w:top w:w="0" w:type="dxa"/>
              <w:left w:w="100" w:type="dxa"/>
              <w:bottom w:w="0" w:type="dxa"/>
              <w:right w:w="100" w:type="dxa"/>
            </w:tcMar>
          </w:tcPr>
          <w:p w14:paraId="521C47B3"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Visualisations based on infrastructure projects data</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21F78D73"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public entity uses visualisations that facilitate the presentation and interpretation of information referring to public infrastructure projects.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30FA2C13"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21,05</w:t>
            </w:r>
          </w:p>
        </w:tc>
      </w:tr>
      <w:tr w:rsidR="002033A5" w:rsidRPr="00E619C8" w14:paraId="0E80FCD2" w14:textId="77777777">
        <w:trPr>
          <w:trHeight w:val="465"/>
        </w:trPr>
        <w:tc>
          <w:tcPr>
            <w:tcW w:w="960" w:type="dxa"/>
            <w:tcBorders>
              <w:top w:val="nil"/>
              <w:left w:val="single" w:sz="6" w:space="0" w:color="000000"/>
              <w:bottom w:val="single" w:sz="6" w:space="0" w:color="000000"/>
              <w:right w:val="single" w:sz="6" w:space="0" w:color="000000"/>
            </w:tcBorders>
            <w:shd w:val="clear" w:color="auto" w:fill="A6A6A6"/>
            <w:tcMar>
              <w:top w:w="0" w:type="dxa"/>
              <w:left w:w="100" w:type="dxa"/>
              <w:bottom w:w="0" w:type="dxa"/>
              <w:right w:w="100" w:type="dxa"/>
            </w:tcMar>
          </w:tcPr>
          <w:p w14:paraId="3F7C3D55"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2,2</w:t>
            </w:r>
          </w:p>
        </w:tc>
        <w:tc>
          <w:tcPr>
            <w:tcW w:w="1245" w:type="dxa"/>
            <w:tcBorders>
              <w:top w:val="nil"/>
              <w:left w:val="nil"/>
              <w:bottom w:val="single" w:sz="6" w:space="0" w:color="000000"/>
              <w:right w:val="single" w:sz="6" w:space="0" w:color="000000"/>
            </w:tcBorders>
            <w:shd w:val="clear" w:color="auto" w:fill="A6A6A6"/>
            <w:tcMar>
              <w:top w:w="0" w:type="dxa"/>
              <w:left w:w="100" w:type="dxa"/>
              <w:bottom w:w="0" w:type="dxa"/>
              <w:right w:w="100" w:type="dxa"/>
            </w:tcMar>
          </w:tcPr>
          <w:p w14:paraId="1C49C737"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Variable</w:t>
            </w:r>
          </w:p>
        </w:tc>
        <w:tc>
          <w:tcPr>
            <w:tcW w:w="2220" w:type="dxa"/>
            <w:tcBorders>
              <w:top w:val="nil"/>
              <w:left w:val="nil"/>
              <w:bottom w:val="single" w:sz="6" w:space="0" w:color="000000"/>
              <w:right w:val="single" w:sz="6" w:space="0" w:color="000000"/>
            </w:tcBorders>
            <w:shd w:val="clear" w:color="auto" w:fill="A6A6A6"/>
            <w:tcMar>
              <w:top w:w="0" w:type="dxa"/>
              <w:left w:w="100" w:type="dxa"/>
              <w:bottom w:w="0" w:type="dxa"/>
              <w:right w:w="100" w:type="dxa"/>
            </w:tcMar>
          </w:tcPr>
          <w:p w14:paraId="556C3A95"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Institutional processes</w:t>
            </w:r>
          </w:p>
        </w:tc>
        <w:tc>
          <w:tcPr>
            <w:tcW w:w="2985" w:type="dxa"/>
            <w:tcBorders>
              <w:top w:val="nil"/>
              <w:left w:val="nil"/>
              <w:bottom w:val="single" w:sz="6" w:space="0" w:color="000000"/>
              <w:right w:val="single" w:sz="6" w:space="0" w:color="000000"/>
            </w:tcBorders>
            <w:shd w:val="clear" w:color="auto" w:fill="A6A6A6"/>
            <w:tcMar>
              <w:top w:w="0" w:type="dxa"/>
              <w:left w:w="100" w:type="dxa"/>
              <w:bottom w:w="0" w:type="dxa"/>
              <w:right w:w="100" w:type="dxa"/>
            </w:tcMar>
          </w:tcPr>
          <w:p w14:paraId="34104969" w14:textId="77777777" w:rsidR="002033A5" w:rsidRPr="00E619C8" w:rsidRDefault="00E113EC">
            <w:pPr>
              <w:spacing w:line="300" w:lineRule="auto"/>
              <w:jc w:val="both"/>
              <w:rPr>
                <w:rFonts w:ascii="Arial" w:eastAsia="Arial" w:hAnsi="Arial" w:cs="Arial"/>
                <w:sz w:val="20"/>
                <w:szCs w:val="20"/>
              </w:rPr>
            </w:pPr>
            <w:r w:rsidRPr="00E619C8">
              <w:rPr>
                <w:rFonts w:ascii="Arial" w:eastAsia="Arial" w:hAnsi="Arial" w:cs="Arial"/>
                <w:sz w:val="20"/>
                <w:szCs w:val="20"/>
              </w:rPr>
              <w:t xml:space="preserve"> </w:t>
            </w:r>
          </w:p>
        </w:tc>
        <w:tc>
          <w:tcPr>
            <w:tcW w:w="1575" w:type="dxa"/>
            <w:tcBorders>
              <w:top w:val="nil"/>
              <w:left w:val="nil"/>
              <w:bottom w:val="single" w:sz="6" w:space="0" w:color="000000"/>
              <w:right w:val="single" w:sz="6" w:space="0" w:color="000000"/>
            </w:tcBorders>
            <w:shd w:val="clear" w:color="auto" w:fill="A6A6A6"/>
            <w:tcMar>
              <w:top w:w="0" w:type="dxa"/>
              <w:left w:w="100" w:type="dxa"/>
              <w:bottom w:w="0" w:type="dxa"/>
              <w:right w:w="100" w:type="dxa"/>
            </w:tcMar>
          </w:tcPr>
          <w:p w14:paraId="6FDD0E78"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41,97</w:t>
            </w:r>
          </w:p>
        </w:tc>
      </w:tr>
      <w:tr w:rsidR="002033A5" w:rsidRPr="00E619C8" w14:paraId="6D93B3D4" w14:textId="77777777">
        <w:trPr>
          <w:trHeight w:val="510"/>
        </w:trPr>
        <w:tc>
          <w:tcPr>
            <w:tcW w:w="96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056FB512"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2.2.1</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29823088"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Sub-variable</w:t>
            </w:r>
          </w:p>
        </w:tc>
        <w:tc>
          <w:tcPr>
            <w:tcW w:w="222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028CA5B4"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Procedures to disclose information</w:t>
            </w:r>
          </w:p>
        </w:tc>
        <w:tc>
          <w:tcPr>
            <w:tcW w:w="29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8BDAB20"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Evaluates institutional procedures to guarantee transparency of data and information related to public infrastructure.</w:t>
            </w:r>
          </w:p>
        </w:tc>
        <w:tc>
          <w:tcPr>
            <w:tcW w:w="157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4F5AE86E"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61,68</w:t>
            </w:r>
          </w:p>
        </w:tc>
      </w:tr>
      <w:tr w:rsidR="002033A5" w:rsidRPr="00E619C8" w14:paraId="00C9AEAE" w14:textId="77777777">
        <w:trPr>
          <w:trHeight w:val="67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66AD1F"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2.2.1.1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3C0C67B0"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42F29438"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Procedures for the publication of information</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6F2CF48B"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There is a documented institutional procedure for the proactive disclosure of information linked to public infrastructure projects.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2AAE6E49"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37,89</w:t>
            </w:r>
          </w:p>
        </w:tc>
      </w:tr>
      <w:tr w:rsidR="002033A5" w:rsidRPr="00E619C8" w14:paraId="6D185BCD" w14:textId="77777777">
        <w:trPr>
          <w:trHeight w:val="67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43EF99D"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2.2.1.2</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0EFAE2EB"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49DFF90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Responsibilities for disclosure</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30609EF0"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procedure for proactive disclosure refers to named officers who are responsible for the various stages of the proactive disclosure of information process.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05BE3588"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47,37</w:t>
            </w:r>
          </w:p>
        </w:tc>
      </w:tr>
      <w:tr w:rsidR="002033A5" w:rsidRPr="00E619C8" w14:paraId="516D2EE3" w14:textId="77777777">
        <w:trPr>
          <w:trHeight w:val="84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86A68E"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2.2.1.3</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7AB082C1"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609518E7"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Information officer profile</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52E93A3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There is a documented professional profile in the institution for an “information officer”, “information unit”, or similar, that describes the professional requirements and main tasks for this person or unit.</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586C650B"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66,32</w:t>
            </w:r>
          </w:p>
        </w:tc>
      </w:tr>
      <w:tr w:rsidR="002033A5" w:rsidRPr="00E619C8" w14:paraId="3E3D2921"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4AC96C6"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2.2.1.4</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4C2121B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2E183A8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Information officer</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728967D0" w14:textId="2E574053"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There is a person nominated for the position of information officer</w:t>
            </w:r>
            <w:r w:rsidR="00DF0763">
              <w:rPr>
                <w:rFonts w:ascii="Arial" w:eastAsia="Arial" w:hAnsi="Arial" w:cs="Arial"/>
                <w:sz w:val="14"/>
                <w:szCs w:val="14"/>
              </w:rPr>
              <w:t>,</w:t>
            </w:r>
            <w:r w:rsidRPr="00E619C8">
              <w:rPr>
                <w:rFonts w:ascii="Arial" w:eastAsia="Arial" w:hAnsi="Arial" w:cs="Arial"/>
                <w:sz w:val="14"/>
                <w:szCs w:val="14"/>
              </w:rPr>
              <w:t xml:space="preserve"> and the person fully complies with the job profile.</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1C60878F"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81,05</w:t>
            </w:r>
          </w:p>
        </w:tc>
      </w:tr>
      <w:tr w:rsidR="002033A5" w:rsidRPr="00E619C8" w14:paraId="3CF4F38F" w14:textId="77777777">
        <w:trPr>
          <w:trHeight w:val="67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B5FA8F6"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2.2.1.5</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2FE1B445"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00CD78D0"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Follow-up mechanisms on information requests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65A06A73"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There are procedures to provide an internal follow-up to public infrastructure project information requests that come from citizens or other actors.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5620A208"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75,79</w:t>
            </w:r>
          </w:p>
        </w:tc>
      </w:tr>
      <w:tr w:rsidR="002033A5" w:rsidRPr="00E619C8" w14:paraId="67501B62" w14:textId="77777777">
        <w:trPr>
          <w:trHeight w:val="465"/>
        </w:trPr>
        <w:tc>
          <w:tcPr>
            <w:tcW w:w="96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1C3088F2"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2.2.2</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0D027725"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Sub-variable</w:t>
            </w:r>
          </w:p>
        </w:tc>
        <w:tc>
          <w:tcPr>
            <w:tcW w:w="222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32A18801" w14:textId="75D306CE"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Enablers and barriers to </w:t>
            </w:r>
            <w:r w:rsidR="00DF0763">
              <w:rPr>
                <w:rFonts w:ascii="Arial" w:eastAsia="Arial" w:hAnsi="Arial" w:cs="Arial"/>
                <w:sz w:val="14"/>
                <w:szCs w:val="14"/>
              </w:rPr>
              <w:t>disclosing</w:t>
            </w:r>
            <w:r w:rsidRPr="00E619C8">
              <w:rPr>
                <w:rFonts w:ascii="Arial" w:eastAsia="Arial" w:hAnsi="Arial" w:cs="Arial"/>
                <w:sz w:val="14"/>
                <w:szCs w:val="14"/>
              </w:rPr>
              <w:t xml:space="preserve"> information</w:t>
            </w:r>
          </w:p>
        </w:tc>
        <w:tc>
          <w:tcPr>
            <w:tcW w:w="29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9EB65BA"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Evaluates conditions at the entity facilitating or limiting the public information publication.</w:t>
            </w:r>
          </w:p>
        </w:tc>
        <w:tc>
          <w:tcPr>
            <w:tcW w:w="157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6AA88D4"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28,00</w:t>
            </w:r>
          </w:p>
        </w:tc>
      </w:tr>
      <w:tr w:rsidR="002033A5" w:rsidRPr="00E619C8" w14:paraId="18324DF5" w14:textId="77777777">
        <w:trPr>
          <w:trHeight w:val="84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7376DCD"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2.2.2.1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747BF3D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52474D6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Internal policy for information publication</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14728799" w14:textId="1FD091E2"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There is in the entity an internal policy, issued </w:t>
            </w:r>
            <w:r w:rsidR="00DF0763">
              <w:rPr>
                <w:rFonts w:ascii="Arial" w:eastAsia="Arial" w:hAnsi="Arial" w:cs="Arial"/>
                <w:sz w:val="14"/>
                <w:szCs w:val="14"/>
              </w:rPr>
              <w:t>by the institutional authorities, for the publication of information containing, among other data, that</w:t>
            </w:r>
            <w:r w:rsidRPr="00E619C8">
              <w:rPr>
                <w:rFonts w:ascii="Arial" w:eastAsia="Arial" w:hAnsi="Arial" w:cs="Arial"/>
                <w:sz w:val="14"/>
                <w:szCs w:val="14"/>
              </w:rPr>
              <w:t xml:space="preserve"> referring to infrastructure projects.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08C8BE1F"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26,32</w:t>
            </w:r>
          </w:p>
        </w:tc>
      </w:tr>
      <w:tr w:rsidR="002033A5" w:rsidRPr="00E619C8" w14:paraId="17C0B61B" w14:textId="77777777">
        <w:trPr>
          <w:trHeight w:val="84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E5674D"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2.2.2.2</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67B8D0C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382D8FD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Disclosure training programme</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46F53F58" w14:textId="455DA493"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There is an internal disclosure training programme or dissemination process that makes personnel aware at all levels </w:t>
            </w:r>
            <w:r w:rsidR="001C35A8">
              <w:rPr>
                <w:rFonts w:ascii="Arial" w:eastAsia="Arial" w:hAnsi="Arial" w:cs="Arial"/>
                <w:sz w:val="14"/>
                <w:szCs w:val="14"/>
              </w:rPr>
              <w:t>of</w:t>
            </w:r>
            <w:r w:rsidRPr="00E619C8">
              <w:rPr>
                <w:rFonts w:ascii="Arial" w:eastAsia="Arial" w:hAnsi="Arial" w:cs="Arial"/>
                <w:sz w:val="14"/>
                <w:szCs w:val="14"/>
              </w:rPr>
              <w:t xml:space="preserve"> matters of access to public information that includes infrastructure projects.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498BEAEF"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9,47</w:t>
            </w:r>
          </w:p>
        </w:tc>
      </w:tr>
      <w:tr w:rsidR="002033A5" w:rsidRPr="00E619C8" w14:paraId="4A76984F"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716F722"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2.2.2.3</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2713BE93"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3B82E478"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Identification of limitations for publishing information</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2783ABFB" w14:textId="126AE6A3"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The internal limitations to publishing infrastructure </w:t>
            </w:r>
            <w:r w:rsidR="001C35A8">
              <w:rPr>
                <w:rFonts w:ascii="Arial" w:eastAsia="Arial" w:hAnsi="Arial" w:cs="Arial"/>
                <w:sz w:val="14"/>
                <w:szCs w:val="14"/>
              </w:rPr>
              <w:t>project</w:t>
            </w:r>
            <w:r w:rsidRPr="00E619C8">
              <w:rPr>
                <w:rFonts w:ascii="Arial" w:eastAsia="Arial" w:hAnsi="Arial" w:cs="Arial"/>
                <w:sz w:val="14"/>
                <w:szCs w:val="14"/>
              </w:rPr>
              <w:t xml:space="preserve"> information have been clearly identified.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0169949A"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55,79</w:t>
            </w:r>
          </w:p>
        </w:tc>
      </w:tr>
      <w:tr w:rsidR="002033A5" w:rsidRPr="00E619C8" w14:paraId="69DC37D0" w14:textId="77777777">
        <w:trPr>
          <w:trHeight w:val="67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2BDE9AA"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2.2.2.4</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0AB9F155"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1A6C03C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Plan to mitigate limitations for publishing information</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3CDA929C"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There is a document that contains the plan to reduce or eliminate the present limitations to publishing information related to infrastructure projects.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28373AEC"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9,47</w:t>
            </w:r>
          </w:p>
        </w:tc>
      </w:tr>
      <w:tr w:rsidR="002033A5" w:rsidRPr="00E619C8" w14:paraId="6946C2FE" w14:textId="77777777">
        <w:trPr>
          <w:trHeight w:val="84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561CBA"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2.2.2.5</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4298D034"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7B78436A" w14:textId="46F9E8E3"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Bureaucratic barriers to </w:t>
            </w:r>
            <w:r w:rsidR="00CA2C48">
              <w:rPr>
                <w:rFonts w:ascii="Arial" w:eastAsia="Arial" w:hAnsi="Arial" w:cs="Arial"/>
                <w:sz w:val="14"/>
                <w:szCs w:val="14"/>
              </w:rPr>
              <w:t>publishing</w:t>
            </w:r>
            <w:r w:rsidRPr="00E619C8">
              <w:rPr>
                <w:rFonts w:ascii="Arial" w:eastAsia="Arial" w:hAnsi="Arial" w:cs="Arial"/>
                <w:sz w:val="14"/>
                <w:szCs w:val="14"/>
              </w:rPr>
              <w:t xml:space="preserve"> information</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4FBF2242" w14:textId="0DB69BEA"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process of proactive and reactive publication of public information, in practice, is not hindered by internal bureaucracy, for example</w:t>
            </w:r>
            <w:r w:rsidR="00CA2C48">
              <w:rPr>
                <w:rFonts w:ascii="Arial" w:eastAsia="Arial" w:hAnsi="Arial" w:cs="Arial"/>
                <w:sz w:val="14"/>
                <w:szCs w:val="14"/>
              </w:rPr>
              <w:t>,</w:t>
            </w:r>
            <w:r w:rsidRPr="00E619C8">
              <w:rPr>
                <w:rFonts w:ascii="Arial" w:eastAsia="Arial" w:hAnsi="Arial" w:cs="Arial"/>
                <w:sz w:val="14"/>
                <w:szCs w:val="14"/>
              </w:rPr>
              <w:t xml:space="preserve"> when it is necessary to obtain approval from multiple parties.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72921544"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44,21</w:t>
            </w:r>
          </w:p>
        </w:tc>
      </w:tr>
      <w:tr w:rsidR="002033A5" w:rsidRPr="00E619C8" w14:paraId="3EB0A92A" w14:textId="77777777">
        <w:trPr>
          <w:trHeight w:val="100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AB37CB0"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2.2.2.6</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32C353CA"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0A723CC9"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Documentation of non-compliance and sanctions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5B929AAC" w14:textId="144EDD56"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There is documentation at the entity acknowledging and </w:t>
            </w:r>
            <w:r w:rsidR="00CA2C48">
              <w:rPr>
                <w:rFonts w:ascii="Arial" w:eastAsia="Arial" w:hAnsi="Arial" w:cs="Arial"/>
                <w:sz w:val="14"/>
                <w:szCs w:val="14"/>
              </w:rPr>
              <w:t>following up</w:t>
            </w:r>
            <w:r w:rsidRPr="00E619C8">
              <w:rPr>
                <w:rFonts w:ascii="Arial" w:eastAsia="Arial" w:hAnsi="Arial" w:cs="Arial"/>
                <w:sz w:val="14"/>
                <w:szCs w:val="14"/>
              </w:rPr>
              <w:t xml:space="preserve"> on non-compliance and sanctions imposed by controlling entities due to non-compliance with the access-to-information standards and/or state contracts.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2244A668"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29,47</w:t>
            </w:r>
          </w:p>
        </w:tc>
      </w:tr>
      <w:tr w:rsidR="002033A5" w:rsidRPr="00E619C8" w14:paraId="5BA0D29B" w14:textId="77777777">
        <w:trPr>
          <w:trHeight w:val="510"/>
        </w:trPr>
        <w:tc>
          <w:tcPr>
            <w:tcW w:w="96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1A5691BE"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2.2.3</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0621E591"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Sub-variable</w:t>
            </w:r>
          </w:p>
        </w:tc>
        <w:tc>
          <w:tcPr>
            <w:tcW w:w="222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D70A059"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Control over infrastructure projects disclosure</w:t>
            </w:r>
          </w:p>
        </w:tc>
        <w:tc>
          <w:tcPr>
            <w:tcW w:w="29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44C46AC5"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Assesses the existence of disclosure control mechanisms and their practical impact in improving data disclosure.</w:t>
            </w:r>
          </w:p>
        </w:tc>
        <w:tc>
          <w:tcPr>
            <w:tcW w:w="157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3E40EBBF"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35,26</w:t>
            </w:r>
          </w:p>
        </w:tc>
      </w:tr>
      <w:tr w:rsidR="002033A5" w:rsidRPr="00E619C8" w14:paraId="4D44FA53" w14:textId="77777777">
        <w:trPr>
          <w:trHeight w:val="84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3BC6471"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2.2.3.1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2D661E9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41B14587"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Level of disclosed infrastructure projects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48C51360"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Proportion of projects on which information is disclosed, complying with the infrastructure data standard, compared with the total number of projects managed by the procuring entity, expressed as a percentage.</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4B8520B7"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35,79</w:t>
            </w:r>
          </w:p>
        </w:tc>
      </w:tr>
      <w:tr w:rsidR="002033A5" w:rsidRPr="00E619C8" w14:paraId="11EE8F92" w14:textId="77777777">
        <w:trPr>
          <w:trHeight w:val="117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A4426EE"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2.2.3.2</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53965E10"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4AA37157"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Level of investment represented by disclosed infrastructure projects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7B3FF529"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Amount of investment represented by projects on which information is proactively disclosed by the procuring entity, complying with the infrastructure data standard, as a proportion of the total amount of investment on infrastructure projects, expressed as a percentage.</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5FAD2EF0"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34,74</w:t>
            </w:r>
          </w:p>
        </w:tc>
      </w:tr>
      <w:tr w:rsidR="002033A5" w:rsidRPr="00E619C8" w14:paraId="45DC60B5" w14:textId="77777777">
        <w:trPr>
          <w:trHeight w:val="675"/>
        </w:trPr>
        <w:tc>
          <w:tcPr>
            <w:tcW w:w="960" w:type="dxa"/>
            <w:tcBorders>
              <w:top w:val="nil"/>
              <w:left w:val="single" w:sz="6" w:space="0" w:color="000000"/>
              <w:bottom w:val="single" w:sz="6" w:space="0" w:color="000000"/>
              <w:right w:val="single" w:sz="6" w:space="0" w:color="000000"/>
            </w:tcBorders>
            <w:shd w:val="clear" w:color="auto" w:fill="808080"/>
            <w:tcMar>
              <w:top w:w="0" w:type="dxa"/>
              <w:left w:w="100" w:type="dxa"/>
              <w:bottom w:w="0" w:type="dxa"/>
              <w:right w:w="100" w:type="dxa"/>
            </w:tcMar>
          </w:tcPr>
          <w:p w14:paraId="08069A7A" w14:textId="77777777" w:rsidR="002033A5" w:rsidRPr="00E619C8" w:rsidRDefault="00E113EC">
            <w:pPr>
              <w:spacing w:line="300" w:lineRule="auto"/>
              <w:jc w:val="center"/>
              <w:rPr>
                <w:rFonts w:ascii="Arial" w:eastAsia="Arial" w:hAnsi="Arial" w:cs="Arial"/>
                <w:color w:val="FFFFFF"/>
                <w:sz w:val="14"/>
                <w:szCs w:val="14"/>
              </w:rPr>
            </w:pPr>
            <w:r w:rsidRPr="00E619C8">
              <w:rPr>
                <w:rFonts w:ascii="Arial" w:eastAsia="Arial" w:hAnsi="Arial" w:cs="Arial"/>
                <w:color w:val="FFFFFF"/>
                <w:sz w:val="14"/>
                <w:szCs w:val="14"/>
              </w:rPr>
              <w:t>3</w:t>
            </w:r>
          </w:p>
        </w:tc>
        <w:tc>
          <w:tcPr>
            <w:tcW w:w="1245" w:type="dxa"/>
            <w:tcBorders>
              <w:top w:val="nil"/>
              <w:left w:val="nil"/>
              <w:bottom w:val="single" w:sz="6" w:space="0" w:color="000000"/>
              <w:right w:val="single" w:sz="6" w:space="0" w:color="000000"/>
            </w:tcBorders>
            <w:shd w:val="clear" w:color="auto" w:fill="808080"/>
            <w:tcMar>
              <w:top w:w="0" w:type="dxa"/>
              <w:left w:w="100" w:type="dxa"/>
              <w:bottom w:w="0" w:type="dxa"/>
              <w:right w:w="100" w:type="dxa"/>
            </w:tcMar>
          </w:tcPr>
          <w:p w14:paraId="0060E3E9" w14:textId="77777777" w:rsidR="002033A5" w:rsidRPr="00E619C8" w:rsidRDefault="00E113EC">
            <w:pPr>
              <w:spacing w:line="300" w:lineRule="auto"/>
              <w:jc w:val="both"/>
              <w:rPr>
                <w:rFonts w:ascii="Arial" w:eastAsia="Arial" w:hAnsi="Arial" w:cs="Arial"/>
                <w:color w:val="FFFFFF"/>
                <w:sz w:val="14"/>
                <w:szCs w:val="14"/>
              </w:rPr>
            </w:pPr>
            <w:r w:rsidRPr="00E619C8">
              <w:rPr>
                <w:rFonts w:ascii="Arial" w:eastAsia="Arial" w:hAnsi="Arial" w:cs="Arial"/>
                <w:color w:val="FFFFFF"/>
                <w:sz w:val="14"/>
                <w:szCs w:val="14"/>
              </w:rPr>
              <w:t>Dimension</w:t>
            </w:r>
          </w:p>
        </w:tc>
        <w:tc>
          <w:tcPr>
            <w:tcW w:w="2220" w:type="dxa"/>
            <w:tcBorders>
              <w:top w:val="nil"/>
              <w:left w:val="nil"/>
              <w:bottom w:val="single" w:sz="6" w:space="0" w:color="000000"/>
              <w:right w:val="single" w:sz="6" w:space="0" w:color="000000"/>
            </w:tcBorders>
            <w:shd w:val="clear" w:color="auto" w:fill="808080"/>
            <w:tcMar>
              <w:top w:w="0" w:type="dxa"/>
              <w:left w:w="100" w:type="dxa"/>
              <w:bottom w:w="0" w:type="dxa"/>
              <w:right w:w="100" w:type="dxa"/>
            </w:tcMar>
          </w:tcPr>
          <w:p w14:paraId="20140DDB" w14:textId="77777777" w:rsidR="002033A5" w:rsidRPr="00E619C8" w:rsidRDefault="00E113EC">
            <w:pPr>
              <w:spacing w:line="300" w:lineRule="auto"/>
              <w:jc w:val="both"/>
              <w:rPr>
                <w:rFonts w:ascii="Arial" w:eastAsia="Arial" w:hAnsi="Arial" w:cs="Arial"/>
                <w:color w:val="FFFFFF"/>
                <w:sz w:val="14"/>
                <w:szCs w:val="14"/>
              </w:rPr>
            </w:pPr>
            <w:r w:rsidRPr="00E619C8">
              <w:rPr>
                <w:rFonts w:ascii="Arial" w:eastAsia="Arial" w:hAnsi="Arial" w:cs="Arial"/>
                <w:color w:val="FFFFFF"/>
                <w:sz w:val="14"/>
                <w:szCs w:val="14"/>
              </w:rPr>
              <w:t>Citizen participation</w:t>
            </w:r>
          </w:p>
        </w:tc>
        <w:tc>
          <w:tcPr>
            <w:tcW w:w="2985" w:type="dxa"/>
            <w:tcBorders>
              <w:top w:val="nil"/>
              <w:left w:val="nil"/>
              <w:bottom w:val="single" w:sz="6" w:space="0" w:color="000000"/>
              <w:right w:val="single" w:sz="6" w:space="0" w:color="000000"/>
            </w:tcBorders>
            <w:shd w:val="clear" w:color="auto" w:fill="808080"/>
            <w:tcMar>
              <w:top w:w="0" w:type="dxa"/>
              <w:left w:w="100" w:type="dxa"/>
              <w:bottom w:w="0" w:type="dxa"/>
              <w:right w:w="100" w:type="dxa"/>
            </w:tcMar>
          </w:tcPr>
          <w:p w14:paraId="3C64447B" w14:textId="77777777" w:rsidR="002033A5" w:rsidRPr="00E619C8" w:rsidRDefault="00E113EC">
            <w:pPr>
              <w:spacing w:line="300" w:lineRule="auto"/>
              <w:jc w:val="both"/>
              <w:rPr>
                <w:rFonts w:ascii="Arial" w:eastAsia="Arial" w:hAnsi="Arial" w:cs="Arial"/>
                <w:color w:val="FFFFFF"/>
                <w:sz w:val="14"/>
                <w:szCs w:val="14"/>
              </w:rPr>
            </w:pPr>
            <w:r w:rsidRPr="00E619C8">
              <w:rPr>
                <w:rFonts w:ascii="Arial" w:eastAsia="Arial" w:hAnsi="Arial" w:cs="Arial"/>
                <w:color w:val="FFFFFF"/>
                <w:sz w:val="14"/>
                <w:szCs w:val="14"/>
              </w:rPr>
              <w:t>Evaluates the opportunities provided by procuring entities for citizen participation and how citizens use the disclosed public information.</w:t>
            </w:r>
          </w:p>
        </w:tc>
        <w:tc>
          <w:tcPr>
            <w:tcW w:w="1575" w:type="dxa"/>
            <w:tcBorders>
              <w:top w:val="nil"/>
              <w:left w:val="nil"/>
              <w:bottom w:val="single" w:sz="6" w:space="0" w:color="000000"/>
              <w:right w:val="single" w:sz="6" w:space="0" w:color="000000"/>
            </w:tcBorders>
            <w:shd w:val="clear" w:color="auto" w:fill="808080"/>
            <w:tcMar>
              <w:top w:w="0" w:type="dxa"/>
              <w:left w:w="100" w:type="dxa"/>
              <w:bottom w:w="0" w:type="dxa"/>
              <w:right w:w="100" w:type="dxa"/>
            </w:tcMar>
          </w:tcPr>
          <w:p w14:paraId="6DA3F434" w14:textId="77777777" w:rsidR="002033A5" w:rsidRPr="00E619C8" w:rsidRDefault="00E113EC">
            <w:pPr>
              <w:spacing w:line="300" w:lineRule="auto"/>
              <w:jc w:val="center"/>
              <w:rPr>
                <w:rFonts w:ascii="Arial" w:eastAsia="Arial" w:hAnsi="Arial" w:cs="Arial"/>
                <w:b/>
                <w:bCs/>
                <w:color w:val="FFFFFF"/>
                <w:sz w:val="16"/>
                <w:szCs w:val="16"/>
              </w:rPr>
            </w:pPr>
            <w:r w:rsidRPr="00E619C8">
              <w:rPr>
                <w:rFonts w:ascii="Arial" w:eastAsia="Arial" w:hAnsi="Arial" w:cs="Arial"/>
                <w:b/>
                <w:bCs/>
                <w:color w:val="FFFFFF"/>
                <w:sz w:val="16"/>
                <w:szCs w:val="16"/>
              </w:rPr>
              <w:t>31,61</w:t>
            </w:r>
          </w:p>
        </w:tc>
      </w:tr>
      <w:tr w:rsidR="002033A5" w:rsidRPr="00E619C8" w14:paraId="68EB86D6" w14:textId="77777777">
        <w:trPr>
          <w:trHeight w:val="480"/>
        </w:trPr>
        <w:tc>
          <w:tcPr>
            <w:tcW w:w="960" w:type="dxa"/>
            <w:tcBorders>
              <w:top w:val="nil"/>
              <w:left w:val="single" w:sz="6" w:space="0" w:color="000000"/>
              <w:bottom w:val="single" w:sz="6" w:space="0" w:color="000000"/>
              <w:right w:val="single" w:sz="6" w:space="0" w:color="000000"/>
            </w:tcBorders>
            <w:shd w:val="clear" w:color="auto" w:fill="A6A6A6"/>
            <w:tcMar>
              <w:top w:w="0" w:type="dxa"/>
              <w:left w:w="100" w:type="dxa"/>
              <w:bottom w:w="0" w:type="dxa"/>
              <w:right w:w="100" w:type="dxa"/>
            </w:tcMar>
          </w:tcPr>
          <w:p w14:paraId="3276D64C"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3,1</w:t>
            </w:r>
          </w:p>
        </w:tc>
        <w:tc>
          <w:tcPr>
            <w:tcW w:w="1245" w:type="dxa"/>
            <w:tcBorders>
              <w:top w:val="nil"/>
              <w:left w:val="nil"/>
              <w:bottom w:val="single" w:sz="6" w:space="0" w:color="000000"/>
              <w:right w:val="single" w:sz="6" w:space="0" w:color="000000"/>
            </w:tcBorders>
            <w:shd w:val="clear" w:color="auto" w:fill="A6A6A6"/>
            <w:tcMar>
              <w:top w:w="0" w:type="dxa"/>
              <w:left w:w="100" w:type="dxa"/>
              <w:bottom w:w="0" w:type="dxa"/>
              <w:right w:w="100" w:type="dxa"/>
            </w:tcMar>
          </w:tcPr>
          <w:p w14:paraId="1407F395"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Variable</w:t>
            </w:r>
          </w:p>
        </w:tc>
        <w:tc>
          <w:tcPr>
            <w:tcW w:w="2220" w:type="dxa"/>
            <w:tcBorders>
              <w:top w:val="nil"/>
              <w:left w:val="nil"/>
              <w:bottom w:val="single" w:sz="6" w:space="0" w:color="000000"/>
              <w:right w:val="single" w:sz="6" w:space="0" w:color="000000"/>
            </w:tcBorders>
            <w:shd w:val="clear" w:color="auto" w:fill="A6A6A6"/>
            <w:tcMar>
              <w:top w:w="0" w:type="dxa"/>
              <w:left w:w="100" w:type="dxa"/>
              <w:bottom w:w="0" w:type="dxa"/>
              <w:right w:w="100" w:type="dxa"/>
            </w:tcMar>
          </w:tcPr>
          <w:p w14:paraId="10186A08"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Participation practices</w:t>
            </w:r>
          </w:p>
        </w:tc>
        <w:tc>
          <w:tcPr>
            <w:tcW w:w="2985" w:type="dxa"/>
            <w:tcBorders>
              <w:top w:val="nil"/>
              <w:left w:val="nil"/>
              <w:bottom w:val="single" w:sz="6" w:space="0" w:color="000000"/>
              <w:right w:val="single" w:sz="6" w:space="0" w:color="000000"/>
            </w:tcBorders>
            <w:shd w:val="clear" w:color="auto" w:fill="A6A6A6"/>
            <w:tcMar>
              <w:top w:w="0" w:type="dxa"/>
              <w:left w:w="100" w:type="dxa"/>
              <w:bottom w:w="0" w:type="dxa"/>
              <w:right w:w="100" w:type="dxa"/>
            </w:tcMar>
          </w:tcPr>
          <w:p w14:paraId="13A872A6" w14:textId="77777777" w:rsidR="002033A5" w:rsidRPr="00E619C8" w:rsidRDefault="00E113EC">
            <w:pPr>
              <w:spacing w:line="300" w:lineRule="auto"/>
              <w:jc w:val="both"/>
              <w:rPr>
                <w:rFonts w:ascii="Arial" w:eastAsia="Arial" w:hAnsi="Arial" w:cs="Arial"/>
                <w:sz w:val="20"/>
                <w:szCs w:val="20"/>
              </w:rPr>
            </w:pPr>
            <w:r w:rsidRPr="00E619C8">
              <w:rPr>
                <w:rFonts w:ascii="Arial" w:eastAsia="Arial" w:hAnsi="Arial" w:cs="Arial"/>
                <w:sz w:val="20"/>
                <w:szCs w:val="20"/>
              </w:rPr>
              <w:t xml:space="preserve"> </w:t>
            </w:r>
          </w:p>
        </w:tc>
        <w:tc>
          <w:tcPr>
            <w:tcW w:w="1575" w:type="dxa"/>
            <w:tcBorders>
              <w:top w:val="nil"/>
              <w:left w:val="nil"/>
              <w:bottom w:val="single" w:sz="6" w:space="0" w:color="000000"/>
              <w:right w:val="single" w:sz="6" w:space="0" w:color="000000"/>
            </w:tcBorders>
            <w:shd w:val="clear" w:color="auto" w:fill="A6A6A6"/>
            <w:tcMar>
              <w:top w:w="0" w:type="dxa"/>
              <w:left w:w="100" w:type="dxa"/>
              <w:bottom w:w="0" w:type="dxa"/>
              <w:right w:w="100" w:type="dxa"/>
            </w:tcMar>
          </w:tcPr>
          <w:p w14:paraId="4043178E"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31,61</w:t>
            </w:r>
          </w:p>
        </w:tc>
      </w:tr>
      <w:tr w:rsidR="002033A5" w:rsidRPr="00E619C8" w14:paraId="14D0145D" w14:textId="77777777">
        <w:trPr>
          <w:trHeight w:val="510"/>
        </w:trPr>
        <w:tc>
          <w:tcPr>
            <w:tcW w:w="96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2EA0C14B"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3.1.1</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824364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Sub-variable</w:t>
            </w:r>
          </w:p>
        </w:tc>
        <w:tc>
          <w:tcPr>
            <w:tcW w:w="222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0425DEA"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Participation opportunities</w:t>
            </w:r>
          </w:p>
        </w:tc>
        <w:tc>
          <w:tcPr>
            <w:tcW w:w="29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D19AEFB" w14:textId="204D3B36"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Assesses the formalisation of </w:t>
            </w:r>
            <w:r w:rsidR="00CA2C48">
              <w:rPr>
                <w:rFonts w:ascii="Arial" w:eastAsia="Arial" w:hAnsi="Arial" w:cs="Arial"/>
                <w:sz w:val="14"/>
                <w:szCs w:val="14"/>
              </w:rPr>
              <w:t>citizens'</w:t>
            </w:r>
            <w:r w:rsidRPr="00E619C8">
              <w:rPr>
                <w:rFonts w:ascii="Arial" w:eastAsia="Arial" w:hAnsi="Arial" w:cs="Arial"/>
                <w:sz w:val="14"/>
                <w:szCs w:val="14"/>
              </w:rPr>
              <w:t xml:space="preserve"> participation opportunities and online mechanisms to facilitate this participation.</w:t>
            </w:r>
          </w:p>
        </w:tc>
        <w:tc>
          <w:tcPr>
            <w:tcW w:w="157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D5A85E8"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40,84</w:t>
            </w:r>
          </w:p>
        </w:tc>
      </w:tr>
      <w:tr w:rsidR="002033A5" w:rsidRPr="00E619C8" w14:paraId="08CE9F0B" w14:textId="77777777">
        <w:trPr>
          <w:trHeight w:val="84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DA9E9A9"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3.1.1.1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4A75C2D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22C1D3FC"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Institutionalised citizen participation</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00EE1E67" w14:textId="7F240A0B"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The institution has formal citizen participation opportunities that allow the procuring entity to listen and implement requests from the </w:t>
            </w:r>
            <w:r w:rsidR="00CA2C48">
              <w:rPr>
                <w:rFonts w:ascii="Arial" w:eastAsia="Arial" w:hAnsi="Arial" w:cs="Arial"/>
                <w:sz w:val="14"/>
                <w:szCs w:val="14"/>
              </w:rPr>
              <w:t>citizens, which</w:t>
            </w:r>
            <w:r w:rsidRPr="00E619C8">
              <w:rPr>
                <w:rFonts w:ascii="Arial" w:eastAsia="Arial" w:hAnsi="Arial" w:cs="Arial"/>
                <w:sz w:val="14"/>
                <w:szCs w:val="14"/>
              </w:rPr>
              <w:t xml:space="preserve"> may be used for public infrastructure projects.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4A10FD34"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38,95</w:t>
            </w:r>
          </w:p>
        </w:tc>
      </w:tr>
      <w:tr w:rsidR="002033A5" w:rsidRPr="00E619C8" w14:paraId="59718026" w14:textId="77777777">
        <w:trPr>
          <w:trHeight w:val="67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9B81E31"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3.1.1.2</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276B3CA8"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5802C070"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Permanent and inclusive citizen participation</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7C9D667F" w14:textId="4386A08F"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The </w:t>
            </w:r>
            <w:r w:rsidR="00CA2C48">
              <w:rPr>
                <w:rFonts w:ascii="Arial" w:eastAsia="Arial" w:hAnsi="Arial" w:cs="Arial"/>
                <w:sz w:val="14"/>
                <w:szCs w:val="14"/>
              </w:rPr>
              <w:t>citizens'</w:t>
            </w:r>
            <w:r w:rsidRPr="00E619C8">
              <w:rPr>
                <w:rFonts w:ascii="Arial" w:eastAsia="Arial" w:hAnsi="Arial" w:cs="Arial"/>
                <w:sz w:val="14"/>
                <w:szCs w:val="14"/>
              </w:rPr>
              <w:t xml:space="preserve"> participation opportunities are permanently available or are available with a constant periodicity through a variety of inclusive channels.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3D71FFDC"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51,58</w:t>
            </w:r>
          </w:p>
        </w:tc>
      </w:tr>
      <w:tr w:rsidR="002033A5" w:rsidRPr="00E619C8" w14:paraId="3BB3470B" w14:textId="77777777">
        <w:trPr>
          <w:trHeight w:val="67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24E1ADA"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3.1.1.3</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3969105C"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0EA57A4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Citizen participation in infrastructure projects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7D51D6DA" w14:textId="6CB52BE0"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The entity conducts formal citizen consultation processes to identify, define, </w:t>
            </w:r>
            <w:r w:rsidR="00CA2C48">
              <w:rPr>
                <w:rFonts w:ascii="Arial" w:eastAsia="Arial" w:hAnsi="Arial" w:cs="Arial"/>
                <w:sz w:val="14"/>
                <w:szCs w:val="14"/>
              </w:rPr>
              <w:t>prioritise,</w:t>
            </w:r>
            <w:r w:rsidRPr="00E619C8">
              <w:rPr>
                <w:rFonts w:ascii="Arial" w:eastAsia="Arial" w:hAnsi="Arial" w:cs="Arial"/>
                <w:sz w:val="14"/>
                <w:szCs w:val="14"/>
              </w:rPr>
              <w:t xml:space="preserve"> and monitor public infrastructure projects.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47AC6534"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31,58</w:t>
            </w:r>
          </w:p>
        </w:tc>
      </w:tr>
      <w:tr w:rsidR="002033A5" w:rsidRPr="00E619C8" w14:paraId="0842503E" w14:textId="77777777">
        <w:trPr>
          <w:trHeight w:val="84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7B951F4"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3.1.1.4</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4B89D921"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025B9884"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Citizen attention office</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0EF6A50C"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There is in the institution an office for citizen service (called the Transparency Office, Complaints Office, Information Office, etc.) that sees subjects related to infrastructure projects.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27266D78"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48,42</w:t>
            </w:r>
          </w:p>
        </w:tc>
      </w:tr>
      <w:tr w:rsidR="002033A5" w:rsidRPr="00E619C8" w14:paraId="060A82D8" w14:textId="77777777">
        <w:trPr>
          <w:trHeight w:val="84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30CFE1D"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3.1.1.5</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547D8317"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6E1ADA0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Online form for consultation or requests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172C169E"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There is an online form by which any person may request information, perform a consultation, or present a complaint referring to an infrastructure project and receive an effective response.</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116C6279"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45,26</w:t>
            </w:r>
          </w:p>
        </w:tc>
      </w:tr>
      <w:tr w:rsidR="002033A5" w:rsidRPr="00E619C8" w14:paraId="1C0B8218" w14:textId="77777777">
        <w:trPr>
          <w:trHeight w:val="84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4A4580"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3.1.1.6</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28591FB6"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7E224548"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Awareness of participation opportunities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03C8D5E5" w14:textId="3D89D5EF"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The institution makes an effort to ensure that citizens are aware of existing participation opportunities and of the availability of information related </w:t>
            </w:r>
            <w:r w:rsidR="00CA2C48">
              <w:rPr>
                <w:rFonts w:ascii="Arial" w:eastAsia="Arial" w:hAnsi="Arial" w:cs="Arial"/>
                <w:sz w:val="14"/>
                <w:szCs w:val="14"/>
              </w:rPr>
              <w:t xml:space="preserve">to </w:t>
            </w:r>
            <w:r w:rsidRPr="00E619C8">
              <w:rPr>
                <w:rFonts w:ascii="Arial" w:eastAsia="Arial" w:hAnsi="Arial" w:cs="Arial"/>
                <w:sz w:val="14"/>
                <w:szCs w:val="14"/>
              </w:rPr>
              <w:t>infrastructure projects.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4AC25389"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41,05</w:t>
            </w:r>
          </w:p>
        </w:tc>
      </w:tr>
      <w:tr w:rsidR="002033A5" w:rsidRPr="00E619C8" w14:paraId="25061B51" w14:textId="77777777">
        <w:trPr>
          <w:trHeight w:val="510"/>
        </w:trPr>
        <w:tc>
          <w:tcPr>
            <w:tcW w:w="96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008A8599"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3.1.2</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D33FEDE"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Sub-variable</w:t>
            </w:r>
          </w:p>
        </w:tc>
        <w:tc>
          <w:tcPr>
            <w:tcW w:w="222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2EC5850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Use of information by citizens</w:t>
            </w:r>
          </w:p>
        </w:tc>
        <w:tc>
          <w:tcPr>
            <w:tcW w:w="29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A8C746B"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Assesses the use of information related to infrastructure projects by citizens, stemming from case evidence.</w:t>
            </w:r>
          </w:p>
        </w:tc>
        <w:tc>
          <w:tcPr>
            <w:tcW w:w="157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295B0CC8"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24,05</w:t>
            </w:r>
          </w:p>
        </w:tc>
      </w:tr>
      <w:tr w:rsidR="002033A5" w:rsidRPr="00E619C8" w14:paraId="19BBEB50" w14:textId="77777777">
        <w:trPr>
          <w:trHeight w:val="67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652B0EA"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3.1.2.1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5D59ED94"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5DFC283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Centralised citizen complaints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2DA0DECA"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There is a mechanism that documents citizens’ complaints related to public infrastructure projects, generates a log and manages responses in an orderly fashion.</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0F8FC66D"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36,84</w:t>
            </w:r>
          </w:p>
        </w:tc>
      </w:tr>
      <w:tr w:rsidR="002033A5" w:rsidRPr="00E619C8" w14:paraId="6D12C0D9"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93F19E1"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3.3.2.2</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64D0A0F5"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32BBB723" w14:textId="4D33050C"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Requests and responses </w:t>
            </w:r>
            <w:r w:rsidR="00CA2C48">
              <w:rPr>
                <w:rFonts w:ascii="Arial" w:eastAsia="Arial" w:hAnsi="Arial" w:cs="Arial"/>
                <w:sz w:val="14"/>
                <w:szCs w:val="14"/>
              </w:rPr>
              <w:t>for</w:t>
            </w:r>
            <w:r w:rsidRPr="00E619C8">
              <w:rPr>
                <w:rFonts w:ascii="Arial" w:eastAsia="Arial" w:hAnsi="Arial" w:cs="Arial"/>
                <w:sz w:val="14"/>
                <w:szCs w:val="14"/>
              </w:rPr>
              <w:t xml:space="preserve"> access to information</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666D9546" w14:textId="0AE0C93E"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Access- </w:t>
            </w:r>
            <w:r w:rsidR="00CA2C48">
              <w:rPr>
                <w:rFonts w:ascii="Arial" w:eastAsia="Arial" w:hAnsi="Arial" w:cs="Arial"/>
                <w:sz w:val="14"/>
                <w:szCs w:val="14"/>
              </w:rPr>
              <w:t xml:space="preserve">to information requests and responses </w:t>
            </w:r>
            <w:r w:rsidRPr="00E619C8">
              <w:rPr>
                <w:rFonts w:ascii="Arial" w:eastAsia="Arial" w:hAnsi="Arial" w:cs="Arial"/>
                <w:sz w:val="14"/>
                <w:szCs w:val="14"/>
              </w:rPr>
              <w:t>from the entity are recorded.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15049D49"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30,53</w:t>
            </w:r>
          </w:p>
        </w:tc>
      </w:tr>
      <w:tr w:rsidR="002033A5" w:rsidRPr="00E619C8" w14:paraId="02CBF473"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37D420B"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3.3.2.3</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775B4130"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02E0BA30"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Institutional response capacity</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02537E8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response to citizens’ access-to-information requests is provided according to the period established by law.</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582AF37D"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43,16</w:t>
            </w:r>
          </w:p>
        </w:tc>
      </w:tr>
      <w:tr w:rsidR="002033A5" w:rsidRPr="00E619C8" w14:paraId="1C5DB215" w14:textId="77777777">
        <w:trPr>
          <w:trHeight w:val="67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56D9D24"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3.3.2.4</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39326538"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5D61D87A" w14:textId="1A6B113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Institutional use </w:t>
            </w:r>
            <w:r w:rsidR="00DE53E7">
              <w:rPr>
                <w:rFonts w:ascii="Arial" w:eastAsia="Arial" w:hAnsi="Arial" w:cs="Arial"/>
                <w:sz w:val="14"/>
                <w:szCs w:val="14"/>
              </w:rPr>
              <w:t xml:space="preserve">of </w:t>
            </w:r>
            <w:r w:rsidRPr="00E619C8">
              <w:rPr>
                <w:rFonts w:ascii="Arial" w:eastAsia="Arial" w:hAnsi="Arial" w:cs="Arial"/>
                <w:sz w:val="14"/>
                <w:szCs w:val="14"/>
              </w:rPr>
              <w:t>evidence</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0DBAB6E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institution provides the public with feedback, such as reports or announcements, on how citizens’ inputs have been used in infrastructure projects.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4F08B6E8"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31,58</w:t>
            </w:r>
          </w:p>
        </w:tc>
      </w:tr>
      <w:tr w:rsidR="002033A5" w:rsidRPr="00E619C8" w14:paraId="1D120295" w14:textId="77777777">
        <w:trPr>
          <w:trHeight w:val="84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1859443"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3.3.2.5</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0C95B6DE"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66952508"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Citizens use evidence</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02BAA191"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information made public regarding infrastructure projects is used by the citizens, civil society organisations, academia, media, private sector, or any other actor.</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4CD4DC3E"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25,26</w:t>
            </w:r>
          </w:p>
        </w:tc>
      </w:tr>
      <w:tr w:rsidR="002033A5" w:rsidRPr="00E619C8" w14:paraId="27EB5130" w14:textId="77777777">
        <w:trPr>
          <w:trHeight w:val="67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6F9C041"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3.3.2.6</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46516B4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3C8E8C8B"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Evidence of joint projects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43B277FA" w14:textId="0F0F5281"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The institution has developed joint projects with other actors </w:t>
            </w:r>
            <w:r w:rsidR="00DF0763">
              <w:rPr>
                <w:rFonts w:ascii="Arial" w:eastAsia="Arial" w:hAnsi="Arial" w:cs="Arial"/>
                <w:sz w:val="14"/>
                <w:szCs w:val="14"/>
              </w:rPr>
              <w:t>outside</w:t>
            </w:r>
            <w:r w:rsidRPr="00E619C8">
              <w:rPr>
                <w:rFonts w:ascii="Arial" w:eastAsia="Arial" w:hAnsi="Arial" w:cs="Arial"/>
                <w:sz w:val="14"/>
                <w:szCs w:val="14"/>
              </w:rPr>
              <w:t xml:space="preserve"> the institution as a result of the information on infrastructure projects.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30B1969A"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570A681E" w14:textId="77777777">
        <w:trPr>
          <w:trHeight w:val="67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9965D9B"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3.3.2.7</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6891BB81"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39D3268B"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Improvements as a response to citizen participation</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747A84C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Changes or reforms have been made to infrastructure projects in response to feedback, evaluation, or some other type of citizen participation.</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1B45924E"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11,58</w:t>
            </w:r>
          </w:p>
        </w:tc>
      </w:tr>
      <w:tr w:rsidR="002033A5" w:rsidRPr="00E619C8" w14:paraId="67FA95B0" w14:textId="77777777">
        <w:trPr>
          <w:trHeight w:val="675"/>
        </w:trPr>
        <w:tc>
          <w:tcPr>
            <w:tcW w:w="960" w:type="dxa"/>
            <w:tcBorders>
              <w:top w:val="nil"/>
              <w:left w:val="single" w:sz="6" w:space="0" w:color="000000"/>
              <w:bottom w:val="single" w:sz="6" w:space="0" w:color="000000"/>
              <w:right w:val="single" w:sz="6" w:space="0" w:color="000000"/>
            </w:tcBorders>
            <w:shd w:val="clear" w:color="auto" w:fill="808080"/>
            <w:tcMar>
              <w:top w:w="0" w:type="dxa"/>
              <w:left w:w="100" w:type="dxa"/>
              <w:bottom w:w="0" w:type="dxa"/>
              <w:right w:w="100" w:type="dxa"/>
            </w:tcMar>
          </w:tcPr>
          <w:p w14:paraId="45492010" w14:textId="77777777" w:rsidR="002033A5" w:rsidRPr="00E619C8" w:rsidRDefault="00E113EC">
            <w:pPr>
              <w:spacing w:line="300" w:lineRule="auto"/>
              <w:jc w:val="center"/>
              <w:rPr>
                <w:rFonts w:ascii="Arial" w:eastAsia="Arial" w:hAnsi="Arial" w:cs="Arial"/>
                <w:color w:val="FFFFFF"/>
                <w:sz w:val="14"/>
                <w:szCs w:val="14"/>
              </w:rPr>
            </w:pPr>
            <w:r w:rsidRPr="00E619C8">
              <w:rPr>
                <w:rFonts w:ascii="Arial" w:eastAsia="Arial" w:hAnsi="Arial" w:cs="Arial"/>
                <w:color w:val="FFFFFF"/>
                <w:sz w:val="14"/>
                <w:szCs w:val="14"/>
              </w:rPr>
              <w:t>4</w:t>
            </w:r>
          </w:p>
        </w:tc>
        <w:tc>
          <w:tcPr>
            <w:tcW w:w="1245" w:type="dxa"/>
            <w:tcBorders>
              <w:top w:val="nil"/>
              <w:left w:val="nil"/>
              <w:bottom w:val="single" w:sz="6" w:space="0" w:color="000000"/>
              <w:right w:val="single" w:sz="6" w:space="0" w:color="000000"/>
            </w:tcBorders>
            <w:shd w:val="clear" w:color="auto" w:fill="808080"/>
            <w:tcMar>
              <w:top w:w="0" w:type="dxa"/>
              <w:left w:w="100" w:type="dxa"/>
              <w:bottom w:w="0" w:type="dxa"/>
              <w:right w:w="100" w:type="dxa"/>
            </w:tcMar>
          </w:tcPr>
          <w:p w14:paraId="215FE580" w14:textId="77777777" w:rsidR="002033A5" w:rsidRPr="00E619C8" w:rsidRDefault="00E113EC">
            <w:pPr>
              <w:spacing w:line="300" w:lineRule="auto"/>
              <w:jc w:val="both"/>
              <w:rPr>
                <w:rFonts w:ascii="Arial" w:eastAsia="Arial" w:hAnsi="Arial" w:cs="Arial"/>
                <w:color w:val="FFFFFF"/>
                <w:sz w:val="14"/>
                <w:szCs w:val="14"/>
              </w:rPr>
            </w:pPr>
            <w:r w:rsidRPr="00E619C8">
              <w:rPr>
                <w:rFonts w:ascii="Arial" w:eastAsia="Arial" w:hAnsi="Arial" w:cs="Arial"/>
                <w:color w:val="FFFFFF"/>
                <w:sz w:val="14"/>
                <w:szCs w:val="14"/>
              </w:rPr>
              <w:t>Dimension</w:t>
            </w:r>
          </w:p>
        </w:tc>
        <w:tc>
          <w:tcPr>
            <w:tcW w:w="2220" w:type="dxa"/>
            <w:tcBorders>
              <w:top w:val="nil"/>
              <w:left w:val="nil"/>
              <w:bottom w:val="single" w:sz="6" w:space="0" w:color="000000"/>
              <w:right w:val="single" w:sz="6" w:space="0" w:color="000000"/>
            </w:tcBorders>
            <w:shd w:val="clear" w:color="auto" w:fill="808080"/>
            <w:tcMar>
              <w:top w:w="0" w:type="dxa"/>
              <w:left w:w="100" w:type="dxa"/>
              <w:bottom w:w="0" w:type="dxa"/>
              <w:right w:w="100" w:type="dxa"/>
            </w:tcMar>
          </w:tcPr>
          <w:p w14:paraId="76F41140" w14:textId="77777777" w:rsidR="002033A5" w:rsidRPr="00E619C8" w:rsidRDefault="00E113EC">
            <w:pPr>
              <w:spacing w:line="300" w:lineRule="auto"/>
              <w:jc w:val="both"/>
              <w:rPr>
                <w:rFonts w:ascii="Arial" w:eastAsia="Arial" w:hAnsi="Arial" w:cs="Arial"/>
                <w:color w:val="FFFFFF"/>
                <w:sz w:val="14"/>
                <w:szCs w:val="14"/>
              </w:rPr>
            </w:pPr>
            <w:r w:rsidRPr="00E619C8">
              <w:rPr>
                <w:rFonts w:ascii="Arial" w:eastAsia="Arial" w:hAnsi="Arial" w:cs="Arial"/>
                <w:color w:val="FFFFFF"/>
                <w:sz w:val="14"/>
                <w:szCs w:val="14"/>
              </w:rPr>
              <w:t>Information disclosure</w:t>
            </w:r>
          </w:p>
        </w:tc>
        <w:tc>
          <w:tcPr>
            <w:tcW w:w="2985" w:type="dxa"/>
            <w:tcBorders>
              <w:top w:val="nil"/>
              <w:left w:val="nil"/>
              <w:bottom w:val="single" w:sz="6" w:space="0" w:color="000000"/>
              <w:right w:val="single" w:sz="6" w:space="0" w:color="000000"/>
            </w:tcBorders>
            <w:shd w:val="clear" w:color="auto" w:fill="808080"/>
            <w:tcMar>
              <w:top w:w="0" w:type="dxa"/>
              <w:left w:w="100" w:type="dxa"/>
              <w:bottom w:w="0" w:type="dxa"/>
              <w:right w:w="100" w:type="dxa"/>
            </w:tcMar>
          </w:tcPr>
          <w:p w14:paraId="0C46B578" w14:textId="77777777" w:rsidR="002033A5" w:rsidRPr="00E619C8" w:rsidRDefault="00E113EC">
            <w:pPr>
              <w:spacing w:line="300" w:lineRule="auto"/>
              <w:jc w:val="both"/>
              <w:rPr>
                <w:rFonts w:ascii="Arial" w:eastAsia="Arial" w:hAnsi="Arial" w:cs="Arial"/>
                <w:color w:val="FFFFFF"/>
                <w:sz w:val="14"/>
                <w:szCs w:val="14"/>
              </w:rPr>
            </w:pPr>
            <w:r w:rsidRPr="00E619C8">
              <w:rPr>
                <w:rFonts w:ascii="Arial" w:eastAsia="Arial" w:hAnsi="Arial" w:cs="Arial"/>
                <w:color w:val="FFFFFF"/>
                <w:sz w:val="14"/>
                <w:szCs w:val="14"/>
              </w:rPr>
              <w:t>Evaluates the amount of data and information disclosed by procuring entities on infrastructure projects according to the CoST IDS or the OC4IDS.</w:t>
            </w:r>
          </w:p>
        </w:tc>
        <w:tc>
          <w:tcPr>
            <w:tcW w:w="1575" w:type="dxa"/>
            <w:tcBorders>
              <w:top w:val="nil"/>
              <w:left w:val="nil"/>
              <w:bottom w:val="single" w:sz="6" w:space="0" w:color="000000"/>
              <w:right w:val="single" w:sz="6" w:space="0" w:color="000000"/>
            </w:tcBorders>
            <w:shd w:val="clear" w:color="auto" w:fill="808080"/>
            <w:tcMar>
              <w:top w:w="0" w:type="dxa"/>
              <w:left w:w="100" w:type="dxa"/>
              <w:bottom w:w="0" w:type="dxa"/>
              <w:right w:w="100" w:type="dxa"/>
            </w:tcMar>
          </w:tcPr>
          <w:p w14:paraId="0FAC81C1" w14:textId="77777777" w:rsidR="002033A5" w:rsidRPr="00E619C8" w:rsidRDefault="00E113EC">
            <w:pPr>
              <w:spacing w:line="300" w:lineRule="auto"/>
              <w:jc w:val="center"/>
              <w:rPr>
                <w:rFonts w:ascii="Arial" w:eastAsia="Arial" w:hAnsi="Arial" w:cs="Arial"/>
                <w:b/>
                <w:bCs/>
                <w:color w:val="FFFFFF"/>
                <w:sz w:val="16"/>
                <w:szCs w:val="16"/>
              </w:rPr>
            </w:pPr>
            <w:r w:rsidRPr="00E619C8">
              <w:rPr>
                <w:rFonts w:ascii="Arial" w:eastAsia="Arial" w:hAnsi="Arial" w:cs="Arial"/>
                <w:b/>
                <w:bCs/>
                <w:color w:val="FFFFFF"/>
                <w:sz w:val="16"/>
                <w:szCs w:val="16"/>
              </w:rPr>
              <w:t>29,83</w:t>
            </w:r>
          </w:p>
        </w:tc>
      </w:tr>
      <w:tr w:rsidR="002033A5" w:rsidRPr="00E619C8" w14:paraId="771E56CF" w14:textId="77777777">
        <w:trPr>
          <w:trHeight w:val="480"/>
        </w:trPr>
        <w:tc>
          <w:tcPr>
            <w:tcW w:w="960" w:type="dxa"/>
            <w:tcBorders>
              <w:top w:val="nil"/>
              <w:left w:val="single" w:sz="6" w:space="0" w:color="000000"/>
              <w:bottom w:val="single" w:sz="6" w:space="0" w:color="000000"/>
              <w:right w:val="single" w:sz="6" w:space="0" w:color="000000"/>
            </w:tcBorders>
            <w:shd w:val="clear" w:color="auto" w:fill="A6A6A6"/>
            <w:tcMar>
              <w:top w:w="0" w:type="dxa"/>
              <w:left w:w="100" w:type="dxa"/>
              <w:bottom w:w="0" w:type="dxa"/>
              <w:right w:w="100" w:type="dxa"/>
            </w:tcMar>
          </w:tcPr>
          <w:p w14:paraId="134D7335"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w:t>
            </w:r>
          </w:p>
        </w:tc>
        <w:tc>
          <w:tcPr>
            <w:tcW w:w="1245" w:type="dxa"/>
            <w:tcBorders>
              <w:top w:val="nil"/>
              <w:left w:val="nil"/>
              <w:bottom w:val="single" w:sz="6" w:space="0" w:color="000000"/>
              <w:right w:val="single" w:sz="6" w:space="0" w:color="000000"/>
            </w:tcBorders>
            <w:shd w:val="clear" w:color="auto" w:fill="A6A6A6"/>
            <w:tcMar>
              <w:top w:w="0" w:type="dxa"/>
              <w:left w:w="100" w:type="dxa"/>
              <w:bottom w:w="0" w:type="dxa"/>
              <w:right w:w="100" w:type="dxa"/>
            </w:tcMar>
          </w:tcPr>
          <w:p w14:paraId="1D496BC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Variable</w:t>
            </w:r>
          </w:p>
        </w:tc>
        <w:tc>
          <w:tcPr>
            <w:tcW w:w="2220" w:type="dxa"/>
            <w:tcBorders>
              <w:top w:val="nil"/>
              <w:left w:val="nil"/>
              <w:bottom w:val="single" w:sz="6" w:space="0" w:color="000000"/>
              <w:right w:val="single" w:sz="6" w:space="0" w:color="000000"/>
            </w:tcBorders>
            <w:shd w:val="clear" w:color="auto" w:fill="A6A6A6"/>
            <w:tcMar>
              <w:top w:w="0" w:type="dxa"/>
              <w:left w:w="100" w:type="dxa"/>
              <w:bottom w:w="0" w:type="dxa"/>
              <w:right w:w="100" w:type="dxa"/>
            </w:tcMar>
          </w:tcPr>
          <w:p w14:paraId="24B9967A"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Disclosure practices</w:t>
            </w:r>
          </w:p>
        </w:tc>
        <w:tc>
          <w:tcPr>
            <w:tcW w:w="2985" w:type="dxa"/>
            <w:tcBorders>
              <w:top w:val="nil"/>
              <w:left w:val="nil"/>
              <w:bottom w:val="single" w:sz="6" w:space="0" w:color="000000"/>
              <w:right w:val="single" w:sz="6" w:space="0" w:color="000000"/>
            </w:tcBorders>
            <w:shd w:val="clear" w:color="auto" w:fill="A6A6A6"/>
            <w:tcMar>
              <w:top w:w="0" w:type="dxa"/>
              <w:left w:w="100" w:type="dxa"/>
              <w:bottom w:w="0" w:type="dxa"/>
              <w:right w:w="100" w:type="dxa"/>
            </w:tcMar>
          </w:tcPr>
          <w:p w14:paraId="7ECE9B96" w14:textId="77777777" w:rsidR="002033A5" w:rsidRPr="00E619C8" w:rsidRDefault="00E113EC">
            <w:pPr>
              <w:spacing w:line="300" w:lineRule="auto"/>
              <w:jc w:val="both"/>
              <w:rPr>
                <w:rFonts w:ascii="Arial" w:eastAsia="Arial" w:hAnsi="Arial" w:cs="Arial"/>
                <w:sz w:val="20"/>
                <w:szCs w:val="20"/>
              </w:rPr>
            </w:pPr>
            <w:r w:rsidRPr="00E619C8">
              <w:rPr>
                <w:rFonts w:ascii="Arial" w:eastAsia="Arial" w:hAnsi="Arial" w:cs="Arial"/>
                <w:sz w:val="20"/>
                <w:szCs w:val="20"/>
              </w:rPr>
              <w:t xml:space="preserve"> </w:t>
            </w:r>
          </w:p>
        </w:tc>
        <w:tc>
          <w:tcPr>
            <w:tcW w:w="1575" w:type="dxa"/>
            <w:tcBorders>
              <w:top w:val="nil"/>
              <w:left w:val="nil"/>
              <w:bottom w:val="single" w:sz="6" w:space="0" w:color="000000"/>
              <w:right w:val="single" w:sz="6" w:space="0" w:color="000000"/>
            </w:tcBorders>
            <w:shd w:val="clear" w:color="auto" w:fill="A6A6A6"/>
            <w:tcMar>
              <w:top w:w="0" w:type="dxa"/>
              <w:left w:w="100" w:type="dxa"/>
              <w:bottom w:w="0" w:type="dxa"/>
              <w:right w:w="100" w:type="dxa"/>
            </w:tcMar>
          </w:tcPr>
          <w:p w14:paraId="5733BE74"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29,83</w:t>
            </w:r>
          </w:p>
        </w:tc>
      </w:tr>
      <w:tr w:rsidR="002033A5" w:rsidRPr="00E619C8" w14:paraId="575314B2" w14:textId="77777777">
        <w:trPr>
          <w:trHeight w:val="480"/>
        </w:trPr>
        <w:tc>
          <w:tcPr>
            <w:tcW w:w="96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61F527E7"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4.1.1</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508A78E"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Sub- variable</w:t>
            </w:r>
          </w:p>
        </w:tc>
        <w:tc>
          <w:tcPr>
            <w:tcW w:w="222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0810B5E0"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Project identification</w:t>
            </w:r>
          </w:p>
        </w:tc>
        <w:tc>
          <w:tcPr>
            <w:tcW w:w="29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041E0A33" w14:textId="77777777" w:rsidR="002033A5" w:rsidRPr="00E619C8" w:rsidRDefault="00E113EC">
            <w:pPr>
              <w:spacing w:line="300" w:lineRule="auto"/>
              <w:jc w:val="both"/>
              <w:rPr>
                <w:rFonts w:ascii="Arial" w:eastAsia="Arial" w:hAnsi="Arial" w:cs="Arial"/>
                <w:sz w:val="20"/>
                <w:szCs w:val="20"/>
              </w:rPr>
            </w:pPr>
            <w:r w:rsidRPr="00E619C8">
              <w:rPr>
                <w:rFonts w:ascii="Arial" w:eastAsia="Arial" w:hAnsi="Arial" w:cs="Arial"/>
                <w:sz w:val="20"/>
                <w:szCs w:val="20"/>
              </w:rPr>
              <w:t xml:space="preserve"> </w:t>
            </w:r>
          </w:p>
        </w:tc>
        <w:tc>
          <w:tcPr>
            <w:tcW w:w="157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0F7A065F"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51,27</w:t>
            </w:r>
          </w:p>
        </w:tc>
      </w:tr>
      <w:tr w:rsidR="002033A5" w:rsidRPr="00E619C8" w14:paraId="4DB552AC" w14:textId="77777777">
        <w:trPr>
          <w:trHeight w:val="48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4DD49F"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4.1.1.1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29E29714"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74CAA065"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Project reference number</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1C78437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There is a number or code assigned to the project that uniquely identifies it.</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4CC21BE7"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100,00</w:t>
            </w:r>
          </w:p>
        </w:tc>
      </w:tr>
      <w:tr w:rsidR="002033A5" w:rsidRPr="00E619C8" w14:paraId="58B1E9C0" w14:textId="77777777">
        <w:trPr>
          <w:trHeight w:val="48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315D96"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4.1.1.2</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40E019C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704AFDA0"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Project owner</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07F0E4C1" w14:textId="6F56E685"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The entity in charge of </w:t>
            </w:r>
            <w:r w:rsidR="00DF0763">
              <w:rPr>
                <w:rFonts w:ascii="Arial" w:eastAsia="Arial" w:hAnsi="Arial" w:cs="Arial"/>
                <w:sz w:val="14"/>
                <w:szCs w:val="14"/>
              </w:rPr>
              <w:t xml:space="preserve">the </w:t>
            </w:r>
            <w:r w:rsidRPr="00E619C8">
              <w:rPr>
                <w:rFonts w:ascii="Arial" w:eastAsia="Arial" w:hAnsi="Arial" w:cs="Arial"/>
                <w:sz w:val="14"/>
                <w:szCs w:val="14"/>
              </w:rPr>
              <w:t>project development and execution contract is clearly identified.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3F847CBB"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100,00</w:t>
            </w:r>
          </w:p>
        </w:tc>
      </w:tr>
      <w:tr w:rsidR="002033A5" w:rsidRPr="00E619C8" w14:paraId="1DB8144E"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614018"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4.1.1.3</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79E4AE49"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54FF10FE"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Sector and sub-sector</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583BBE75"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sector and sub-sector are identified according to the government structure, for which the project is being developed.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070674B6"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0CC458F1" w14:textId="77777777">
        <w:trPr>
          <w:trHeight w:val="48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EFB1ED"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4.1.1.4</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3B89B6C7"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2D35B66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Project name</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00A44E0A"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project is clearly identified with the same name throughout the project cycle.</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3A529253"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64,91</w:t>
            </w:r>
          </w:p>
        </w:tc>
      </w:tr>
      <w:tr w:rsidR="002033A5" w:rsidRPr="00E619C8" w14:paraId="7AAB22ED" w14:textId="77777777">
        <w:trPr>
          <w:trHeight w:val="48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94CBDF"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4.1.1.5</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5E5E1E4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5BBD4637"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Project location</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073B887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physical location of the project is clearly identified.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11EE3670"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91,23</w:t>
            </w:r>
          </w:p>
        </w:tc>
      </w:tr>
      <w:tr w:rsidR="002033A5" w:rsidRPr="00E619C8" w14:paraId="02BC3FAA"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267DFCD"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4.1.1.6</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36017F2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72771603"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Project description</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5D94690C"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project´s description is available, indicating what it is about and the infrastructure outputs that are part of it.</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218EEA39"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31,93</w:t>
            </w:r>
          </w:p>
        </w:tc>
      </w:tr>
      <w:tr w:rsidR="002033A5" w:rsidRPr="00E619C8" w14:paraId="4DF85837"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AE2FDA8"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4.1.1.7</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4129BF8B"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79A61A17"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Purpose</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7443D6C5"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There is a project purpose expressed in terms of public infrastructure and its intended social and economic impact.</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69932B7D"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28,95</w:t>
            </w:r>
          </w:p>
        </w:tc>
      </w:tr>
      <w:tr w:rsidR="002033A5" w:rsidRPr="00E619C8" w14:paraId="5FAC6CA2" w14:textId="77777777">
        <w:trPr>
          <w:trHeight w:val="480"/>
        </w:trPr>
        <w:tc>
          <w:tcPr>
            <w:tcW w:w="96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4B5D0ED8"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4.1.2</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4C0F5EA4"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Sub-variable</w:t>
            </w:r>
          </w:p>
        </w:tc>
        <w:tc>
          <w:tcPr>
            <w:tcW w:w="222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04AEA22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Project preparation</w:t>
            </w:r>
          </w:p>
        </w:tc>
        <w:tc>
          <w:tcPr>
            <w:tcW w:w="29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3A908811" w14:textId="77777777" w:rsidR="002033A5" w:rsidRPr="00E619C8" w:rsidRDefault="00E113EC">
            <w:pPr>
              <w:spacing w:line="300" w:lineRule="auto"/>
              <w:jc w:val="both"/>
              <w:rPr>
                <w:rFonts w:ascii="Arial" w:eastAsia="Arial" w:hAnsi="Arial" w:cs="Arial"/>
                <w:sz w:val="20"/>
                <w:szCs w:val="20"/>
              </w:rPr>
            </w:pPr>
            <w:r w:rsidRPr="00E619C8">
              <w:rPr>
                <w:rFonts w:ascii="Arial" w:eastAsia="Arial" w:hAnsi="Arial" w:cs="Arial"/>
                <w:sz w:val="20"/>
                <w:szCs w:val="20"/>
              </w:rPr>
              <w:t xml:space="preserve"> </w:t>
            </w:r>
          </w:p>
        </w:tc>
        <w:tc>
          <w:tcPr>
            <w:tcW w:w="157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5C0C758"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29,18</w:t>
            </w:r>
          </w:p>
        </w:tc>
      </w:tr>
      <w:tr w:rsidR="002033A5" w:rsidRPr="00E619C8" w14:paraId="6173EBAB" w14:textId="77777777">
        <w:trPr>
          <w:trHeight w:val="100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4D071BE"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4.1.2.1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7BA87FA1"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0A353C34"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Environmental impact</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37533BFB" w14:textId="0C9024A9"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A document that identifies, evaluates and describes the environmental impacts produced by the project on its surroundings is available</w:t>
            </w:r>
            <w:r w:rsidR="00DE53E7">
              <w:rPr>
                <w:rFonts w:ascii="Arial" w:eastAsia="Arial" w:hAnsi="Arial" w:cs="Arial"/>
                <w:sz w:val="14"/>
                <w:szCs w:val="14"/>
              </w:rPr>
              <w:t>, including reference to relevant additional studies (soil, topography, hydrogeology, etc.)</w:t>
            </w:r>
            <w:r w:rsidRPr="00E619C8">
              <w:rPr>
                <w:rFonts w:ascii="Arial" w:eastAsia="Arial" w:hAnsi="Arial" w:cs="Arial"/>
                <w:sz w:val="14"/>
                <w:szCs w:val="14"/>
              </w:rPr>
              <w:t>.)</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0F30E2A7"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772D805B" w14:textId="77777777">
        <w:trPr>
          <w:trHeight w:val="67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724F881"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4.1.2.2</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205E5098"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5D46A7F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Land and settlement impact</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7AA78DC4"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A document that identifies, assesses and describes the impacts on human settlements and population centres, produced by the project, is available.</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08F697E2"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7DC7EB58"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7A2194C"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4.1.2.3</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10B14437"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7B92B005"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Contact details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457798F1"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Information identifies the contact details of the officer responsible for the project in the procuring entity.</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18332966"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1,58</w:t>
            </w:r>
          </w:p>
        </w:tc>
      </w:tr>
      <w:tr w:rsidR="002033A5" w:rsidRPr="00E619C8" w14:paraId="6CCA0A54"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99C7F22"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4.1.2.4</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03C63869"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666ECDC3"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Project budget and date of approval</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43D8A5D4" w14:textId="27D8C55D"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total required budget is available for the development of the project</w:t>
            </w:r>
            <w:r w:rsidR="00DE53E7">
              <w:rPr>
                <w:rFonts w:ascii="Arial" w:eastAsia="Arial" w:hAnsi="Arial" w:cs="Arial"/>
                <w:sz w:val="14"/>
                <w:szCs w:val="14"/>
              </w:rPr>
              <w:t xml:space="preserve">, and the date of approval is </w:t>
            </w:r>
            <w:r w:rsidRPr="00E619C8">
              <w:rPr>
                <w:rFonts w:ascii="Arial" w:eastAsia="Arial" w:hAnsi="Arial" w:cs="Arial"/>
                <w:sz w:val="14"/>
                <w:szCs w:val="14"/>
              </w:rPr>
              <w:t>provided.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695E96BF"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95,09</w:t>
            </w:r>
          </w:p>
        </w:tc>
      </w:tr>
      <w:tr w:rsidR="002033A5" w:rsidRPr="00E619C8" w14:paraId="2DD98BAB" w14:textId="77777777">
        <w:trPr>
          <w:trHeight w:val="67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FB3CC4"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4.1.2.5</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4A56F59B"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05192350"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Funding sources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306C6C09" w14:textId="757653EC"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The sources </w:t>
            </w:r>
            <w:r w:rsidR="00DE53E7">
              <w:rPr>
                <w:rFonts w:ascii="Arial" w:eastAsia="Arial" w:hAnsi="Arial" w:cs="Arial"/>
                <w:sz w:val="14"/>
                <w:szCs w:val="14"/>
              </w:rPr>
              <w:t xml:space="preserve">from which the funds are coming </w:t>
            </w:r>
            <w:r w:rsidRPr="00E619C8">
              <w:rPr>
                <w:rFonts w:ascii="Arial" w:eastAsia="Arial" w:hAnsi="Arial" w:cs="Arial"/>
                <w:sz w:val="14"/>
                <w:szCs w:val="14"/>
              </w:rPr>
              <w:t>are identified, e.g. from the national budget, cooperation, multilateral organisations, or others.</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4A79630B"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100,00</w:t>
            </w:r>
          </w:p>
        </w:tc>
      </w:tr>
      <w:tr w:rsidR="002033A5" w:rsidRPr="00E619C8" w14:paraId="44542E15" w14:textId="77777777">
        <w:trPr>
          <w:trHeight w:val="480"/>
        </w:trPr>
        <w:tc>
          <w:tcPr>
            <w:tcW w:w="96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0DCFDD77"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4.1.3</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A6FD680"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Sub-variable</w:t>
            </w:r>
          </w:p>
        </w:tc>
        <w:tc>
          <w:tcPr>
            <w:tcW w:w="222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2F84D626"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Execution contract procurement</w:t>
            </w:r>
          </w:p>
        </w:tc>
        <w:tc>
          <w:tcPr>
            <w:tcW w:w="29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6184DFE" w14:textId="77777777" w:rsidR="002033A5" w:rsidRPr="00E619C8" w:rsidRDefault="00E113EC">
            <w:pPr>
              <w:spacing w:line="300" w:lineRule="auto"/>
              <w:jc w:val="both"/>
              <w:rPr>
                <w:rFonts w:ascii="Arial" w:eastAsia="Arial" w:hAnsi="Arial" w:cs="Arial"/>
                <w:sz w:val="20"/>
                <w:szCs w:val="20"/>
              </w:rPr>
            </w:pPr>
            <w:r w:rsidRPr="00E619C8">
              <w:rPr>
                <w:rFonts w:ascii="Arial" w:eastAsia="Arial" w:hAnsi="Arial" w:cs="Arial"/>
                <w:sz w:val="20"/>
                <w:szCs w:val="20"/>
              </w:rPr>
              <w:t xml:space="preserve"> </w:t>
            </w:r>
          </w:p>
        </w:tc>
        <w:tc>
          <w:tcPr>
            <w:tcW w:w="157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3D74C91D"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67,75</w:t>
            </w:r>
          </w:p>
        </w:tc>
      </w:tr>
      <w:tr w:rsidR="002033A5" w:rsidRPr="00E619C8" w14:paraId="5D702E90"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C78BF95"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4.1.3.1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6F5A9CCE"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023E7769"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Procuring entity and contact details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3177B244"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entity in charge of contracting the execution of the infrastructure project and its contact details are clearly identified.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57FE9A3E"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67,72</w:t>
            </w:r>
          </w:p>
        </w:tc>
      </w:tr>
      <w:tr w:rsidR="002033A5" w:rsidRPr="00E619C8" w14:paraId="63703937"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B735B0"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4.1.3.2</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16935F95"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2EC684E9"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Procurement process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10E5B7D0"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type of procurement process that was applied to award the contract is clearly identified.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57C95FE2"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98,25</w:t>
            </w:r>
          </w:p>
        </w:tc>
      </w:tr>
      <w:tr w:rsidR="002033A5" w:rsidRPr="00E619C8" w14:paraId="2E04563B"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34FE432"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4.1.3.3</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0AF23D9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0A3275A6"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Number of firms bidding</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4CD80AF7"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number of companies participating in the bidding process for the infrastructure execution is clearly identified.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17297F46"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100,00</w:t>
            </w:r>
          </w:p>
        </w:tc>
      </w:tr>
      <w:tr w:rsidR="002033A5" w:rsidRPr="00E619C8" w14:paraId="0D76FEC5" w14:textId="77777777">
        <w:trPr>
          <w:trHeight w:val="48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6CD8F1"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4.1.3.4</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25CB88A4"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0C45D56C"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Contract type</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6E193B8A"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type of contract to be signed is clearly identified.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590E1CE2"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100,00</w:t>
            </w:r>
          </w:p>
        </w:tc>
      </w:tr>
      <w:tr w:rsidR="002033A5" w:rsidRPr="00E619C8" w14:paraId="2CDCD214" w14:textId="77777777">
        <w:trPr>
          <w:trHeight w:val="48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1877ED"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4.1.3.5</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2ABD86F5"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43EF1FE6"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Contract title</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47A78B8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official name of the signed contract is clearly identified.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01A187A1"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7,02</w:t>
            </w:r>
          </w:p>
        </w:tc>
      </w:tr>
      <w:tr w:rsidR="002033A5" w:rsidRPr="00E619C8" w14:paraId="2B83BBE3" w14:textId="77777777">
        <w:trPr>
          <w:trHeight w:val="48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E7411A6"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4.1.3.6</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35D5DE1E"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68B6E7B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Contract price</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4BE38223"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final amount of the execution contract is clearly stated.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720456D2"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100,00</w:t>
            </w:r>
          </w:p>
        </w:tc>
      </w:tr>
      <w:tr w:rsidR="002033A5" w:rsidRPr="00E619C8" w14:paraId="0DA88895" w14:textId="77777777">
        <w:trPr>
          <w:trHeight w:val="48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7CBC835"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4.1.3.7</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5FCC83C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43E9348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Contract start date</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6491E055"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date when the contract execution starts is clearly identified.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4B581849"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87,72</w:t>
            </w:r>
          </w:p>
        </w:tc>
      </w:tr>
      <w:tr w:rsidR="002033A5" w:rsidRPr="00E619C8" w14:paraId="5CB8D00C" w14:textId="77777777">
        <w:trPr>
          <w:trHeight w:val="48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58C6A5D"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4.1.3.8</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46D92808"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13E1A83B"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Contract duration</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52FF936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contract duration is clearly identified.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31C7E56A"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17,54</w:t>
            </w:r>
          </w:p>
        </w:tc>
      </w:tr>
      <w:tr w:rsidR="002033A5" w:rsidRPr="00E619C8" w14:paraId="3946098C" w14:textId="77777777">
        <w:trPr>
          <w:trHeight w:val="120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9125392"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4.1.3.9</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0F1CE18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6203E70E"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Contractor(s)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4AC3F215"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w:t>
            </w:r>
            <w:r w:rsidRPr="00E619C8">
              <w:rPr>
                <w:rFonts w:ascii="Arial" w:eastAsia="Arial" w:hAnsi="Arial" w:cs="Arial"/>
                <w:sz w:val="14"/>
                <w:szCs w:val="14"/>
              </w:rPr>
              <w:br/>
              <w:t xml:space="preserve"> · name</w:t>
            </w:r>
            <w:r w:rsidRPr="00E619C8">
              <w:rPr>
                <w:rFonts w:ascii="Arial" w:eastAsia="Arial" w:hAnsi="Arial" w:cs="Arial"/>
                <w:sz w:val="14"/>
                <w:szCs w:val="14"/>
              </w:rPr>
              <w:br/>
              <w:t xml:space="preserve"> · identification number</w:t>
            </w:r>
            <w:r w:rsidRPr="00E619C8">
              <w:rPr>
                <w:rFonts w:ascii="Arial" w:eastAsia="Arial" w:hAnsi="Arial" w:cs="Arial"/>
                <w:sz w:val="14"/>
                <w:szCs w:val="14"/>
              </w:rPr>
              <w:br/>
              <w:t xml:space="preserve"> · contact information</w:t>
            </w:r>
            <w:r w:rsidRPr="00E619C8">
              <w:rPr>
                <w:rFonts w:ascii="Arial" w:eastAsia="Arial" w:hAnsi="Arial" w:cs="Arial"/>
                <w:sz w:val="14"/>
                <w:szCs w:val="14"/>
              </w:rPr>
              <w:br/>
              <w:t xml:space="preserve"> of the winning contractor is clearly identified.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5A2ADBFB"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46,67</w:t>
            </w:r>
          </w:p>
        </w:tc>
      </w:tr>
      <w:tr w:rsidR="002033A5" w:rsidRPr="00E619C8" w14:paraId="2A7BDD18"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EE8FFC6"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4.1.3.10</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5BA9267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0334C340"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Contract scope of work</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1A332DF1" w14:textId="21D44012"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The description of the work and services that the firm has to provide under the signed contract </w:t>
            </w:r>
            <w:r w:rsidR="00DE53E7">
              <w:rPr>
                <w:rFonts w:ascii="Arial" w:eastAsia="Arial" w:hAnsi="Arial" w:cs="Arial"/>
                <w:sz w:val="14"/>
                <w:szCs w:val="14"/>
              </w:rPr>
              <w:t>is</w:t>
            </w:r>
            <w:r w:rsidRPr="00E619C8">
              <w:rPr>
                <w:rFonts w:ascii="Arial" w:eastAsia="Arial" w:hAnsi="Arial" w:cs="Arial"/>
                <w:sz w:val="14"/>
                <w:szCs w:val="14"/>
              </w:rPr>
              <w:t xml:space="preserve"> clearly identified.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3876392A"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52,63</w:t>
            </w:r>
          </w:p>
        </w:tc>
      </w:tr>
      <w:tr w:rsidR="002033A5" w:rsidRPr="00E619C8" w14:paraId="6CA6FB11" w14:textId="77777777">
        <w:trPr>
          <w:trHeight w:val="480"/>
        </w:trPr>
        <w:tc>
          <w:tcPr>
            <w:tcW w:w="96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6CDDBD94"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4.1.4</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1BECB2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Sub-variable</w:t>
            </w:r>
          </w:p>
        </w:tc>
        <w:tc>
          <w:tcPr>
            <w:tcW w:w="222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F838E46"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Supervision contract procurement</w:t>
            </w:r>
          </w:p>
        </w:tc>
        <w:tc>
          <w:tcPr>
            <w:tcW w:w="29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4F5F2BD" w14:textId="77777777" w:rsidR="002033A5" w:rsidRPr="00E619C8" w:rsidRDefault="00E113EC">
            <w:pPr>
              <w:spacing w:line="300" w:lineRule="auto"/>
              <w:jc w:val="both"/>
              <w:rPr>
                <w:rFonts w:ascii="Arial" w:eastAsia="Arial" w:hAnsi="Arial" w:cs="Arial"/>
                <w:sz w:val="20"/>
                <w:szCs w:val="20"/>
              </w:rPr>
            </w:pPr>
            <w:r w:rsidRPr="00E619C8">
              <w:rPr>
                <w:rFonts w:ascii="Arial" w:eastAsia="Arial" w:hAnsi="Arial" w:cs="Arial"/>
                <w:sz w:val="20"/>
                <w:szCs w:val="20"/>
              </w:rPr>
              <w:t xml:space="preserve"> </w:t>
            </w:r>
          </w:p>
        </w:tc>
        <w:tc>
          <w:tcPr>
            <w:tcW w:w="157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7A6E184B"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2E02936E"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CFAA4C0"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4.1.4.1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168F310B"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0E593DEE"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Procuring entity and contact details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10A97927" w14:textId="4BF8A0BD"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The entity in charge of contracting the supervision of the infrastructure and its contact details </w:t>
            </w:r>
            <w:r w:rsidR="00DE53E7">
              <w:rPr>
                <w:rFonts w:ascii="Arial" w:eastAsia="Arial" w:hAnsi="Arial" w:cs="Arial"/>
                <w:sz w:val="14"/>
                <w:szCs w:val="14"/>
              </w:rPr>
              <w:t>is</w:t>
            </w:r>
            <w:r w:rsidRPr="00E619C8">
              <w:rPr>
                <w:rFonts w:ascii="Arial" w:eastAsia="Arial" w:hAnsi="Arial" w:cs="Arial"/>
                <w:sz w:val="14"/>
                <w:szCs w:val="14"/>
              </w:rPr>
              <w:t xml:space="preserve"> clearly identified.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50998EA8"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6CA06EEE"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3DEB8FB"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4.1.4.2</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026B3CB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67060A68"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Procurement process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6DCA1943"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type of tender management process applied to award the contract is clearly identified.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7D381C3E"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5EE896D5"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61CC9CC4"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4.1.4.3</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01A6F23C"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7CA791E7"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Number of firms/individuals bidding</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43954E45"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number of companies or individuals participating in the bidding process for the supervision is clearly identified.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51E87BF7"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20B437AB" w14:textId="77777777">
        <w:trPr>
          <w:trHeight w:val="48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EF5CFF"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4.1.4.4</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48CF6087"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56B6F63B"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Contract type</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4411117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type of contract signed is clearly identified.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5DD71E59"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1BCAE17A" w14:textId="77777777">
        <w:trPr>
          <w:trHeight w:val="48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3CC84DD9"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4.1.4.5</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6B5F568B"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43881519"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Contract title</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569E2AA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official name of the signed contract is clearly identified.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0CD67ECB"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35713317" w14:textId="77777777">
        <w:trPr>
          <w:trHeight w:val="48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138D3D8"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4.1.4.6</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0C23ED19"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594B9393"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Contract price</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436950C9"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final amount of the supervision contract is clearly provided.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3A4CF574"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2121D85F" w14:textId="77777777">
        <w:trPr>
          <w:trHeight w:val="48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2C1CBED"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4.1.4.7</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6FB92361"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2C8F29B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Contract start date</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0B4107E9" w14:textId="00E85C2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start date of the supervision contract is clearly identified.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58D93DB9"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4FC7DFCD" w14:textId="77777777">
        <w:trPr>
          <w:trHeight w:val="48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A767926"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4.1.4.8</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1E1268F8"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4351B47B"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Contract duration</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3085A9FA"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The contract duration is clearly identified.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12D6A6C0"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33ECCF93"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1E1A353"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4.1.4.9</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0843778E"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1F4E323E"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Contract firm/individual</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15EA3C15" w14:textId="2920A2E5"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The name and information of the awarded company or individual to implement the project supervision </w:t>
            </w:r>
            <w:r w:rsidR="00DE53E7">
              <w:rPr>
                <w:rFonts w:ascii="Arial" w:eastAsia="Arial" w:hAnsi="Arial" w:cs="Arial"/>
                <w:sz w:val="14"/>
                <w:szCs w:val="14"/>
              </w:rPr>
              <w:t>are</w:t>
            </w:r>
            <w:r w:rsidRPr="00E619C8">
              <w:rPr>
                <w:rFonts w:ascii="Arial" w:eastAsia="Arial" w:hAnsi="Arial" w:cs="Arial"/>
                <w:sz w:val="14"/>
                <w:szCs w:val="14"/>
              </w:rPr>
              <w:t xml:space="preserve"> clearly identified.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560FB703"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314E7E3E" w14:textId="77777777">
        <w:trPr>
          <w:trHeight w:val="675"/>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EE3F9F2"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4.1.4.10</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2AF86D97"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179107E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Contract scope of work</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31EA19A4" w14:textId="7AAE2630"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The description of the work and services that the firm or individual has to provide under the signed contract </w:t>
            </w:r>
            <w:r w:rsidR="00DE53E7">
              <w:rPr>
                <w:rFonts w:ascii="Arial" w:eastAsia="Arial" w:hAnsi="Arial" w:cs="Arial"/>
                <w:sz w:val="14"/>
                <w:szCs w:val="14"/>
              </w:rPr>
              <w:t>is</w:t>
            </w:r>
            <w:r w:rsidRPr="00E619C8">
              <w:rPr>
                <w:rFonts w:ascii="Arial" w:eastAsia="Arial" w:hAnsi="Arial" w:cs="Arial"/>
                <w:sz w:val="14"/>
                <w:szCs w:val="14"/>
              </w:rPr>
              <w:t xml:space="preserve"> clearly identified.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7CE67CCB"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5E667EDB" w14:textId="77777777">
        <w:trPr>
          <w:trHeight w:val="480"/>
        </w:trPr>
        <w:tc>
          <w:tcPr>
            <w:tcW w:w="96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2B4DEC2A"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4.1.5</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769C05A"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Sub-variable</w:t>
            </w:r>
          </w:p>
        </w:tc>
        <w:tc>
          <w:tcPr>
            <w:tcW w:w="222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F052645"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Execution contract implementation</w:t>
            </w:r>
          </w:p>
        </w:tc>
        <w:tc>
          <w:tcPr>
            <w:tcW w:w="29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6399FC48" w14:textId="77777777" w:rsidR="002033A5" w:rsidRPr="00E619C8" w:rsidRDefault="00E113EC">
            <w:pPr>
              <w:spacing w:line="300" w:lineRule="auto"/>
              <w:jc w:val="both"/>
              <w:rPr>
                <w:rFonts w:ascii="Arial" w:eastAsia="Arial" w:hAnsi="Arial" w:cs="Arial"/>
                <w:sz w:val="20"/>
                <w:szCs w:val="20"/>
              </w:rPr>
            </w:pPr>
            <w:r w:rsidRPr="00E619C8">
              <w:rPr>
                <w:rFonts w:ascii="Arial" w:eastAsia="Arial" w:hAnsi="Arial" w:cs="Arial"/>
                <w:sz w:val="20"/>
                <w:szCs w:val="20"/>
              </w:rPr>
              <w:t xml:space="preserve"> </w:t>
            </w:r>
          </w:p>
        </w:tc>
        <w:tc>
          <w:tcPr>
            <w:tcW w:w="157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2570407B"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62EC697B" w14:textId="77777777">
        <w:trPr>
          <w:trHeight w:val="48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D1D7F09"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4.1.5.1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0F9F5031"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6DD42C0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Variation to contract price</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7FAB277E"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It is clearly indicated whether variations to the contract price have been made.</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64170A20"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0A9678FE"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2977731"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4.1.5.2</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27C44EAC"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310AD4FB"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Reasons for price changes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07997961"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Justifications with arguments why changes were made to the contract price are available.</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25D229B3"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1C7873A6" w14:textId="77777777">
        <w:trPr>
          <w:trHeight w:val="48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9AC6E42"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4.1.5.3</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770EA67A"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0815819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Variation to contract duration</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3C1A686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Contract duration modifications are clearly indicated, if made.</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5C254297"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0FBE8B78"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3F96425"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4.1.5.4</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2183CC2A"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583C303D"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Reasons for contract duration changes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18136ADB"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Justifications with arguments why changes were made to the contract duration are available.</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3BF70D1B"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35D53EEB" w14:textId="77777777">
        <w:trPr>
          <w:trHeight w:val="48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1BF93916"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4.1.5.5</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430FC733"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4F59D0EF"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Variation to contract scope</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43B13FC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Modifications to the project scope, if they exist, are clearly indicated.</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01E7D4A4"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70A969DF" w14:textId="77777777">
        <w:trPr>
          <w:trHeight w:val="48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50DB7EB6"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4.1.5.6</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0F98E596"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77AC5A5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Reasons for scope changes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2A11E9C9" w14:textId="421A7BB6"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Justifications with arguments why changes were made to </w:t>
            </w:r>
            <w:r w:rsidR="00DE53E7">
              <w:rPr>
                <w:rFonts w:ascii="Arial" w:eastAsia="Arial" w:hAnsi="Arial" w:cs="Arial"/>
                <w:sz w:val="14"/>
                <w:szCs w:val="14"/>
              </w:rPr>
              <w:t xml:space="preserve">the </w:t>
            </w:r>
            <w:r w:rsidRPr="00E619C8">
              <w:rPr>
                <w:rFonts w:ascii="Arial" w:eastAsia="Arial" w:hAnsi="Arial" w:cs="Arial"/>
                <w:sz w:val="14"/>
                <w:szCs w:val="14"/>
              </w:rPr>
              <w:t>project scope are available.</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0C429060"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53B945AA" w14:textId="77777777">
        <w:trPr>
          <w:trHeight w:val="480"/>
        </w:trPr>
        <w:tc>
          <w:tcPr>
            <w:tcW w:w="960" w:type="dxa"/>
            <w:tcBorders>
              <w:top w:val="nil"/>
              <w:left w:val="single" w:sz="6" w:space="0" w:color="000000"/>
              <w:bottom w:val="single" w:sz="6" w:space="0" w:color="000000"/>
              <w:right w:val="single" w:sz="6" w:space="0" w:color="000000"/>
            </w:tcBorders>
            <w:shd w:val="clear" w:color="auto" w:fill="D9D9D9"/>
            <w:tcMar>
              <w:top w:w="0" w:type="dxa"/>
              <w:left w:w="100" w:type="dxa"/>
              <w:bottom w:w="0" w:type="dxa"/>
              <w:right w:w="100" w:type="dxa"/>
            </w:tcMar>
          </w:tcPr>
          <w:p w14:paraId="2E4F764A"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4.1.6</w:t>
            </w:r>
          </w:p>
        </w:tc>
        <w:tc>
          <w:tcPr>
            <w:tcW w:w="124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3979CC7A"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Sub-variable</w:t>
            </w:r>
          </w:p>
        </w:tc>
        <w:tc>
          <w:tcPr>
            <w:tcW w:w="2220"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10A624C3"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Supervision contract implementation</w:t>
            </w:r>
          </w:p>
        </w:tc>
        <w:tc>
          <w:tcPr>
            <w:tcW w:w="298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50DD0868" w14:textId="77777777" w:rsidR="002033A5" w:rsidRPr="00E619C8" w:rsidRDefault="00E113EC">
            <w:pPr>
              <w:spacing w:line="300" w:lineRule="auto"/>
              <w:jc w:val="both"/>
              <w:rPr>
                <w:rFonts w:ascii="Arial" w:eastAsia="Arial" w:hAnsi="Arial" w:cs="Arial"/>
                <w:sz w:val="20"/>
                <w:szCs w:val="20"/>
              </w:rPr>
            </w:pPr>
            <w:r w:rsidRPr="00E619C8">
              <w:rPr>
                <w:rFonts w:ascii="Arial" w:eastAsia="Arial" w:hAnsi="Arial" w:cs="Arial"/>
                <w:sz w:val="20"/>
                <w:szCs w:val="20"/>
              </w:rPr>
              <w:t xml:space="preserve"> </w:t>
            </w:r>
          </w:p>
        </w:tc>
        <w:tc>
          <w:tcPr>
            <w:tcW w:w="1575" w:type="dxa"/>
            <w:tcBorders>
              <w:top w:val="nil"/>
              <w:left w:val="nil"/>
              <w:bottom w:val="single" w:sz="6" w:space="0" w:color="000000"/>
              <w:right w:val="single" w:sz="6" w:space="0" w:color="000000"/>
            </w:tcBorders>
            <w:shd w:val="clear" w:color="auto" w:fill="D9D9D9"/>
            <w:tcMar>
              <w:top w:w="0" w:type="dxa"/>
              <w:left w:w="100" w:type="dxa"/>
              <w:bottom w:w="0" w:type="dxa"/>
              <w:right w:w="100" w:type="dxa"/>
            </w:tcMar>
          </w:tcPr>
          <w:p w14:paraId="4A986721"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73A64187" w14:textId="77777777">
        <w:trPr>
          <w:trHeight w:val="48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5B25B16"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4.1.6.1</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265D03AE"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5962F5E3"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Variation to contract price</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447FF0D6"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It is clearly indicated whether variations to the contract price have been made.</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7B4726BE"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0EEF2B73"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C2CD7A5"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4.1.6.2</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6F59BBAA"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60816A15"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Reasons for price changes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5FCF9519"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Justifications with arguments why changes were made to the contract price are available.</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3997C862"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3E939FED" w14:textId="77777777">
        <w:trPr>
          <w:trHeight w:val="48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08629813"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4.1.6.3</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4970B458"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03C36A97"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Variation to contract duration</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7ADCD56E"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Contract duration modifications are clearly pointed out, if made.</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04F4CE1B"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31F7824F" w14:textId="77777777">
        <w:trPr>
          <w:trHeight w:val="51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406B10D4"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4.1.6.4</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667164AA"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272FAAD2"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Reasons for duration changes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6AB904B1"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Justifications with arguments why changes were made to the contract duration are available.</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56F5E24D"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1C70AB08" w14:textId="77777777">
        <w:trPr>
          <w:trHeight w:val="48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7F4EDE79"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4.1.6.5</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0FB9B6A1"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629FFCE7"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Variation to contract scope</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2EB60F86"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Modifications to the project scope, if they exist, are clearly pointed out.</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197E46D9"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r w:rsidR="002033A5" w:rsidRPr="00E619C8" w14:paraId="1F19BFB2" w14:textId="77777777">
        <w:trPr>
          <w:trHeight w:val="480"/>
        </w:trPr>
        <w:tc>
          <w:tcPr>
            <w:tcW w:w="960" w:type="dxa"/>
            <w:tcBorders>
              <w:top w:val="nil"/>
              <w:left w:val="single" w:sz="6" w:space="0" w:color="000000"/>
              <w:bottom w:val="single" w:sz="6" w:space="0" w:color="000000"/>
              <w:right w:val="single" w:sz="6" w:space="0" w:color="000000"/>
            </w:tcBorders>
            <w:tcMar>
              <w:top w:w="0" w:type="dxa"/>
              <w:left w:w="100" w:type="dxa"/>
              <w:bottom w:w="0" w:type="dxa"/>
              <w:right w:w="100" w:type="dxa"/>
            </w:tcMar>
          </w:tcPr>
          <w:p w14:paraId="295E0E3A" w14:textId="77777777" w:rsidR="002033A5" w:rsidRPr="00E619C8" w:rsidRDefault="00E113EC">
            <w:pPr>
              <w:spacing w:line="300" w:lineRule="auto"/>
              <w:jc w:val="center"/>
              <w:rPr>
                <w:rFonts w:ascii="Arial" w:eastAsia="Arial" w:hAnsi="Arial" w:cs="Arial"/>
                <w:sz w:val="14"/>
                <w:szCs w:val="14"/>
              </w:rPr>
            </w:pPr>
            <w:r w:rsidRPr="00E619C8">
              <w:rPr>
                <w:rFonts w:ascii="Arial" w:eastAsia="Arial" w:hAnsi="Arial" w:cs="Arial"/>
                <w:sz w:val="14"/>
                <w:szCs w:val="14"/>
              </w:rPr>
              <w:t>4.1.6.6</w:t>
            </w:r>
          </w:p>
        </w:tc>
        <w:tc>
          <w:tcPr>
            <w:tcW w:w="1245" w:type="dxa"/>
            <w:tcBorders>
              <w:top w:val="nil"/>
              <w:left w:val="nil"/>
              <w:bottom w:val="single" w:sz="6" w:space="0" w:color="000000"/>
              <w:right w:val="single" w:sz="6" w:space="0" w:color="000000"/>
            </w:tcBorders>
            <w:tcMar>
              <w:top w:w="0" w:type="dxa"/>
              <w:left w:w="100" w:type="dxa"/>
              <w:bottom w:w="0" w:type="dxa"/>
              <w:right w:w="100" w:type="dxa"/>
            </w:tcMar>
          </w:tcPr>
          <w:p w14:paraId="18548304"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Indicator</w:t>
            </w:r>
          </w:p>
        </w:tc>
        <w:tc>
          <w:tcPr>
            <w:tcW w:w="2220" w:type="dxa"/>
            <w:tcBorders>
              <w:top w:val="nil"/>
              <w:left w:val="nil"/>
              <w:bottom w:val="single" w:sz="6" w:space="0" w:color="000000"/>
              <w:right w:val="single" w:sz="6" w:space="0" w:color="000000"/>
            </w:tcBorders>
            <w:tcMar>
              <w:top w:w="0" w:type="dxa"/>
              <w:left w:w="100" w:type="dxa"/>
              <w:bottom w:w="0" w:type="dxa"/>
              <w:right w:w="100" w:type="dxa"/>
            </w:tcMar>
          </w:tcPr>
          <w:p w14:paraId="7D32EFEA" w14:textId="77777777"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Reasons for scope changes</w:t>
            </w:r>
          </w:p>
        </w:tc>
        <w:tc>
          <w:tcPr>
            <w:tcW w:w="2985" w:type="dxa"/>
            <w:tcBorders>
              <w:top w:val="nil"/>
              <w:left w:val="nil"/>
              <w:bottom w:val="single" w:sz="6" w:space="0" w:color="000000"/>
              <w:right w:val="single" w:sz="6" w:space="0" w:color="000000"/>
            </w:tcBorders>
            <w:tcMar>
              <w:top w:w="0" w:type="dxa"/>
              <w:left w:w="100" w:type="dxa"/>
              <w:bottom w:w="0" w:type="dxa"/>
              <w:right w:w="100" w:type="dxa"/>
            </w:tcMar>
          </w:tcPr>
          <w:p w14:paraId="262ADE71" w14:textId="19364909" w:rsidR="002033A5" w:rsidRPr="00E619C8" w:rsidRDefault="00E113EC">
            <w:pPr>
              <w:spacing w:line="300" w:lineRule="auto"/>
              <w:jc w:val="both"/>
              <w:rPr>
                <w:rFonts w:ascii="Arial" w:eastAsia="Arial" w:hAnsi="Arial" w:cs="Arial"/>
                <w:sz w:val="14"/>
                <w:szCs w:val="14"/>
              </w:rPr>
            </w:pPr>
            <w:r w:rsidRPr="00E619C8">
              <w:rPr>
                <w:rFonts w:ascii="Arial" w:eastAsia="Arial" w:hAnsi="Arial" w:cs="Arial"/>
                <w:sz w:val="14"/>
                <w:szCs w:val="14"/>
              </w:rPr>
              <w:t xml:space="preserve">Justifications with arguments why changes were made to </w:t>
            </w:r>
            <w:r w:rsidR="00DF0763">
              <w:rPr>
                <w:rFonts w:ascii="Arial" w:eastAsia="Arial" w:hAnsi="Arial" w:cs="Arial"/>
                <w:sz w:val="14"/>
                <w:szCs w:val="14"/>
              </w:rPr>
              <w:t xml:space="preserve">the </w:t>
            </w:r>
            <w:r w:rsidRPr="00E619C8">
              <w:rPr>
                <w:rFonts w:ascii="Arial" w:eastAsia="Arial" w:hAnsi="Arial" w:cs="Arial"/>
                <w:sz w:val="14"/>
                <w:szCs w:val="14"/>
              </w:rPr>
              <w:t>project scope are available.</w:t>
            </w:r>
          </w:p>
        </w:tc>
        <w:tc>
          <w:tcPr>
            <w:tcW w:w="1575" w:type="dxa"/>
            <w:tcBorders>
              <w:top w:val="nil"/>
              <w:left w:val="nil"/>
              <w:bottom w:val="single" w:sz="6" w:space="0" w:color="000000"/>
              <w:right w:val="single" w:sz="6" w:space="0" w:color="000000"/>
            </w:tcBorders>
            <w:tcMar>
              <w:top w:w="0" w:type="dxa"/>
              <w:left w:w="100" w:type="dxa"/>
              <w:bottom w:w="0" w:type="dxa"/>
              <w:right w:w="100" w:type="dxa"/>
            </w:tcMar>
          </w:tcPr>
          <w:p w14:paraId="55A4673F" w14:textId="77777777" w:rsidR="002033A5" w:rsidRPr="00E619C8" w:rsidRDefault="00E113EC">
            <w:pPr>
              <w:spacing w:line="300" w:lineRule="auto"/>
              <w:jc w:val="center"/>
              <w:rPr>
                <w:rFonts w:ascii="Arial" w:eastAsia="Arial" w:hAnsi="Arial" w:cs="Arial"/>
                <w:b/>
                <w:bCs/>
                <w:sz w:val="16"/>
                <w:szCs w:val="16"/>
              </w:rPr>
            </w:pPr>
            <w:r w:rsidRPr="00E619C8">
              <w:rPr>
                <w:rFonts w:ascii="Arial" w:eastAsia="Arial" w:hAnsi="Arial" w:cs="Arial"/>
                <w:b/>
                <w:bCs/>
                <w:sz w:val="16"/>
                <w:szCs w:val="16"/>
              </w:rPr>
              <w:t>0,00</w:t>
            </w:r>
          </w:p>
        </w:tc>
      </w:tr>
    </w:tbl>
    <w:p w14:paraId="39DBC10B" w14:textId="77777777" w:rsidR="002033A5" w:rsidRPr="00E619C8" w:rsidRDefault="002033A5">
      <w:pPr>
        <w:pBdr>
          <w:top w:val="nil"/>
          <w:left w:val="nil"/>
          <w:bottom w:val="nil"/>
          <w:right w:val="nil"/>
          <w:between w:val="nil"/>
        </w:pBdr>
        <w:spacing w:after="160" w:line="300" w:lineRule="auto"/>
        <w:jc w:val="both"/>
        <w:rPr>
          <w:rFonts w:ascii="Arial" w:eastAsia="Arial" w:hAnsi="Arial" w:cs="Arial"/>
          <w:sz w:val="20"/>
          <w:szCs w:val="20"/>
        </w:rPr>
      </w:pPr>
    </w:p>
    <w:p w14:paraId="3E89915F" w14:textId="77777777" w:rsidR="002033A5" w:rsidRPr="00E619C8" w:rsidRDefault="002033A5">
      <w:pPr>
        <w:pBdr>
          <w:top w:val="nil"/>
          <w:left w:val="nil"/>
          <w:bottom w:val="nil"/>
          <w:right w:val="nil"/>
          <w:between w:val="nil"/>
        </w:pBdr>
        <w:spacing w:after="160" w:line="300" w:lineRule="auto"/>
        <w:jc w:val="both"/>
        <w:rPr>
          <w:rFonts w:ascii="Arial" w:eastAsia="Arial" w:hAnsi="Arial" w:cs="Arial"/>
          <w:sz w:val="20"/>
          <w:szCs w:val="20"/>
        </w:rPr>
      </w:pPr>
    </w:p>
    <w:p w14:paraId="2A82346A" w14:textId="77777777" w:rsidR="00B21013" w:rsidRPr="00E619C8" w:rsidRDefault="00B21013">
      <w:pPr>
        <w:rPr>
          <w:rFonts w:ascii="Arial" w:eastAsia="Arial" w:hAnsi="Arial" w:cs="Arial"/>
          <w:b/>
          <w:bCs/>
          <w:color w:val="C00000"/>
          <w:sz w:val="48"/>
          <w:szCs w:val="48"/>
        </w:rPr>
      </w:pPr>
      <w:bookmarkStart w:id="56" w:name="_heading=h.pkikgn50fkkg" w:colFirst="0" w:colLast="0"/>
      <w:bookmarkEnd w:id="56"/>
      <w:r w:rsidRPr="00E619C8">
        <w:rPr>
          <w:rFonts w:ascii="Arial" w:eastAsia="Arial" w:hAnsi="Arial" w:cs="Arial"/>
          <w:b/>
          <w:bCs/>
          <w:color w:val="C00000"/>
          <w:sz w:val="48"/>
          <w:szCs w:val="48"/>
        </w:rPr>
        <w:br w:type="page"/>
      </w:r>
    </w:p>
    <w:p w14:paraId="523F65A0" w14:textId="4FB33EEF" w:rsidR="002033A5" w:rsidRPr="00E619C8" w:rsidRDefault="00E113EC">
      <w:pPr>
        <w:pStyle w:val="Heading1"/>
        <w:pBdr>
          <w:top w:val="nil"/>
          <w:left w:val="nil"/>
          <w:bottom w:val="nil"/>
          <w:right w:val="nil"/>
          <w:between w:val="nil"/>
        </w:pBdr>
        <w:spacing w:before="120" w:after="240" w:line="276" w:lineRule="auto"/>
        <w:rPr>
          <w:rFonts w:ascii="Monda" w:eastAsia="Monda" w:hAnsi="Monda" w:cs="Monda"/>
          <w:b/>
          <w:bCs/>
          <w:color w:val="C00000"/>
        </w:rPr>
      </w:pPr>
      <w:bookmarkStart w:id="57" w:name="_Toc227235267"/>
      <w:r w:rsidRPr="00E619C8">
        <w:rPr>
          <w:rFonts w:ascii="Arial" w:eastAsia="Arial" w:hAnsi="Arial" w:cs="Arial"/>
          <w:b/>
          <w:bCs/>
          <w:color w:val="C00000"/>
          <w:sz w:val="48"/>
          <w:szCs w:val="48"/>
        </w:rPr>
        <w:t xml:space="preserve">Annex 4 </w:t>
      </w:r>
      <w:r w:rsidRPr="00E619C8">
        <w:rPr>
          <w:rFonts w:ascii="Arial" w:eastAsia="Arial" w:hAnsi="Arial" w:cs="Arial"/>
          <w:b/>
          <w:bCs/>
          <w:color w:val="C00000"/>
        </w:rPr>
        <w:t>| Procuring entities scorecards</w:t>
      </w:r>
      <w:bookmarkEnd w:id="57"/>
    </w:p>
    <w:p w14:paraId="652A8CC1" w14:textId="77777777" w:rsidR="002033A5" w:rsidRPr="00E619C8" w:rsidRDefault="00E113EC">
      <w:pPr>
        <w:pBdr>
          <w:top w:val="nil"/>
          <w:left w:val="nil"/>
          <w:bottom w:val="nil"/>
          <w:right w:val="nil"/>
          <w:between w:val="nil"/>
        </w:pBdr>
        <w:spacing w:after="160" w:line="300" w:lineRule="auto"/>
        <w:jc w:val="both"/>
        <w:rPr>
          <w:rFonts w:ascii="Arial" w:eastAsia="Arial" w:hAnsi="Arial" w:cs="Arial"/>
          <w:sz w:val="20"/>
          <w:szCs w:val="20"/>
        </w:rPr>
      </w:pPr>
      <w:r w:rsidRPr="00E619C8">
        <w:rPr>
          <w:rFonts w:ascii="Arial" w:eastAsia="Arial" w:hAnsi="Arial" w:cs="Arial"/>
          <w:sz w:val="22"/>
          <w:szCs w:val="22"/>
        </w:rPr>
        <w:t>Position 1: Dinas Pekerjaan Umum dan Penataan Ruang (Bidang Bina Marga)</w:t>
      </w:r>
    </w:p>
    <w:p w14:paraId="2C66BBF4" w14:textId="77777777" w:rsidR="002033A5" w:rsidRPr="00E619C8" w:rsidRDefault="00E113EC">
      <w:pPr>
        <w:pBdr>
          <w:top w:val="nil"/>
          <w:left w:val="nil"/>
          <w:bottom w:val="nil"/>
          <w:right w:val="nil"/>
          <w:between w:val="nil"/>
        </w:pBdr>
        <w:spacing w:after="120"/>
        <w:jc w:val="center"/>
        <w:rPr>
          <w:rFonts w:ascii="Calibri" w:eastAsia="Calibri" w:hAnsi="Calibri" w:cs="Calibri"/>
          <w:color w:val="000000"/>
        </w:rPr>
      </w:pPr>
      <w:r w:rsidRPr="00E619C8">
        <w:rPr>
          <w:rFonts w:ascii="Calibri" w:eastAsia="Calibri" w:hAnsi="Calibri" w:cs="Calibri"/>
          <w:noProof/>
        </w:rPr>
        <w:drawing>
          <wp:inline distT="114300" distB="114300" distL="114300" distR="114300" wp14:anchorId="3AD16E1F" wp14:editId="0F7A5E07">
            <wp:extent cx="5731200" cy="4330700"/>
            <wp:effectExtent l="0" t="0" r="0" b="0"/>
            <wp:docPr id="1857035766" name="image28.png"/>
            <wp:cNvGraphicFramePr/>
            <a:graphic xmlns:a="http://schemas.openxmlformats.org/drawingml/2006/main">
              <a:graphicData uri="http://schemas.openxmlformats.org/drawingml/2006/picture">
                <pic:pic xmlns:pic="http://schemas.openxmlformats.org/drawingml/2006/picture">
                  <pic:nvPicPr>
                    <pic:cNvPr id="0" name="image28.png"/>
                    <pic:cNvPicPr preferRelativeResize="0"/>
                  </pic:nvPicPr>
                  <pic:blipFill>
                    <a:blip r:embed="rId38"/>
                    <a:srcRect/>
                    <a:stretch>
                      <a:fillRect/>
                    </a:stretch>
                  </pic:blipFill>
                  <pic:spPr>
                    <a:xfrm>
                      <a:off x="0" y="0"/>
                      <a:ext cx="5731200" cy="4330700"/>
                    </a:xfrm>
                    <a:prstGeom prst="rect">
                      <a:avLst/>
                    </a:prstGeom>
                    <a:ln/>
                  </pic:spPr>
                </pic:pic>
              </a:graphicData>
            </a:graphic>
          </wp:inline>
        </w:drawing>
      </w:r>
      <w:r w:rsidRPr="00E619C8">
        <w:rPr>
          <w:rFonts w:ascii="Calibri" w:eastAsia="Calibri" w:hAnsi="Calibri" w:cs="Calibri"/>
          <w:color w:val="000000"/>
        </w:rPr>
        <w:t xml:space="preserve"> </w:t>
      </w:r>
    </w:p>
    <w:p w14:paraId="7C45526F" w14:textId="77777777" w:rsidR="002033A5" w:rsidRPr="00E619C8" w:rsidRDefault="002033A5">
      <w:pPr>
        <w:pBdr>
          <w:top w:val="nil"/>
          <w:left w:val="nil"/>
          <w:bottom w:val="nil"/>
          <w:right w:val="nil"/>
          <w:between w:val="nil"/>
        </w:pBdr>
        <w:spacing w:after="120"/>
        <w:rPr>
          <w:rFonts w:ascii="Calibri" w:eastAsia="Calibri" w:hAnsi="Calibri" w:cs="Calibri"/>
        </w:rPr>
      </w:pPr>
    </w:p>
    <w:p w14:paraId="0A786184" w14:textId="77777777" w:rsidR="002033A5" w:rsidRPr="00E619C8" w:rsidRDefault="00E113EC">
      <w:pPr>
        <w:pBdr>
          <w:top w:val="nil"/>
          <w:left w:val="nil"/>
          <w:bottom w:val="nil"/>
          <w:right w:val="nil"/>
          <w:between w:val="nil"/>
        </w:pBdr>
        <w:spacing w:after="120"/>
        <w:jc w:val="center"/>
        <w:rPr>
          <w:rFonts w:ascii="Calibri" w:eastAsia="Calibri" w:hAnsi="Calibri" w:cs="Calibri"/>
          <w:color w:val="000000"/>
        </w:rPr>
      </w:pPr>
      <w:r w:rsidRPr="00E619C8">
        <w:rPr>
          <w:rFonts w:ascii="Calibri" w:eastAsia="Calibri" w:hAnsi="Calibri" w:cs="Calibri"/>
          <w:color w:val="000000"/>
        </w:rPr>
        <w:t xml:space="preserve"> </w:t>
      </w:r>
    </w:p>
    <w:p w14:paraId="4741BBBA" w14:textId="0048BF1A" w:rsidR="002033A5" w:rsidRPr="00E619C8" w:rsidRDefault="00E113EC">
      <w:pPr>
        <w:spacing w:after="160" w:line="300" w:lineRule="auto"/>
        <w:jc w:val="both"/>
        <w:rPr>
          <w:rFonts w:ascii="Arial" w:eastAsia="Arial" w:hAnsi="Arial" w:cs="Arial"/>
          <w:sz w:val="22"/>
          <w:szCs w:val="22"/>
        </w:rPr>
      </w:pPr>
      <w:r w:rsidRPr="00E619C8">
        <w:br w:type="page"/>
      </w:r>
      <w:r w:rsidRPr="00E619C8">
        <w:rPr>
          <w:noProof/>
        </w:rPr>
        <mc:AlternateContent>
          <mc:Choice Requires="wps">
            <w:drawing>
              <wp:anchor distT="45720" distB="45720" distL="114300" distR="114300" simplePos="0" relativeHeight="251658247" behindDoc="0" locked="0" layoutInCell="1" hidden="0" allowOverlap="1" wp14:anchorId="6475DFF3" wp14:editId="191D49F7">
                <wp:simplePos x="0" y="0"/>
                <wp:positionH relativeFrom="column">
                  <wp:posOffset>655638</wp:posOffset>
                </wp:positionH>
                <wp:positionV relativeFrom="paragraph">
                  <wp:posOffset>548958</wp:posOffset>
                </wp:positionV>
                <wp:extent cx="3749675" cy="357505"/>
                <wp:effectExtent l="0" t="0" r="0" b="0"/>
                <wp:wrapSquare wrapText="bothSides" distT="45720" distB="45720" distL="114300" distR="114300"/>
                <wp:docPr id="1857035734" name="Rectángulo 1857035734"/>
                <wp:cNvGraphicFramePr/>
                <a:graphic xmlns:a="http://schemas.openxmlformats.org/drawingml/2006/main">
                  <a:graphicData uri="http://schemas.microsoft.com/office/word/2010/wordprocessingShape">
                    <wps:wsp>
                      <wps:cNvSpPr/>
                      <wps:spPr>
                        <a:xfrm>
                          <a:off x="3490213" y="3620298"/>
                          <a:ext cx="3711575" cy="319405"/>
                        </a:xfrm>
                        <a:prstGeom prst="rect">
                          <a:avLst/>
                        </a:prstGeom>
                        <a:noFill/>
                        <a:ln>
                          <a:noFill/>
                        </a:ln>
                      </wps:spPr>
                      <wps:txbx>
                        <w:txbxContent>
                          <w:p w14:paraId="37900F7C" w14:textId="77777777" w:rsidR="002033A5" w:rsidRPr="00E619C8" w:rsidRDefault="00E113EC">
                            <w:pPr>
                              <w:textDirection w:val="btLr"/>
                            </w:pPr>
                            <w:r w:rsidRPr="00E619C8">
                              <w:rPr>
                                <w:rFonts w:ascii="Arial" w:eastAsia="Arial" w:hAnsi="Arial" w:cs="Arial"/>
                                <w:b/>
                                <w:color w:val="FFFFFF"/>
                                <w:sz w:val="30"/>
                              </w:rPr>
                              <w:t>www.infrastructuretransparency.org</w:t>
                            </w:r>
                          </w:p>
                        </w:txbxContent>
                      </wps:txbx>
                      <wps:bodyPr spcFirstLastPara="1" wrap="square" lIns="91425" tIns="45700" rIns="91425" bIns="45700" anchor="ctr" anchorCtr="0">
                        <a:noAutofit/>
                      </wps:bodyPr>
                    </wps:wsp>
                  </a:graphicData>
                </a:graphic>
              </wp:anchor>
            </w:drawing>
          </mc:Choice>
          <mc:Fallback>
            <w:pict>
              <v:rect w14:anchorId="6475DFF3" id="Rectángulo 1857035734" o:spid="_x0000_s1028" style="position:absolute;left:0;text-align:left;margin-left:51.65pt;margin-top:43.25pt;width:295.25pt;height:28.15pt;z-index:251658247;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" filled="f" stroked="f">
                <v:textbox inset="2.53958mm,1.2694mm,2.53958mm,1.2694mm">
                  <w:txbxContent>
                    <w:p w14:paraId="37900F7C" w14:textId="77777777" w:rsidR="002033A5" w:rsidRPr="00E619C8" w:rsidRDefault="00E113EC">
                      <w:pPr>
                        <w:textDirection w:val="btLr"/>
                      </w:pPr>
                      <w:r w:rsidRPr="00E619C8">
                        <w:rPr>
                          <w:rFonts w:ascii="Arial" w:eastAsia="Arial" w:hAnsi="Arial" w:cs="Arial"/>
                          <w:b/>
                          <w:color w:val="FFFFFF"/>
                          <w:sz w:val="30"/>
                        </w:rPr>
                        <w:t>www.infrastructuretransparency.org</w:t>
                      </w:r>
                    </w:p>
                  </w:txbxContent>
                </v:textbox>
                <w10:wrap type="square"/>
              </v:rect>
            </w:pict>
          </mc:Fallback>
        </mc:AlternateContent>
      </w:r>
      <w:r w:rsidRPr="00E619C8">
        <w:rPr>
          <w:noProof/>
        </w:rPr>
        <mc:AlternateContent>
          <mc:Choice Requires="wps">
            <w:drawing>
              <wp:anchor distT="45720" distB="45720" distL="114300" distR="114300" simplePos="0" relativeHeight="251658248" behindDoc="0" locked="0" layoutInCell="1" hidden="0" allowOverlap="1" wp14:anchorId="13AB56A9" wp14:editId="2F284146">
                <wp:simplePos x="0" y="0"/>
                <wp:positionH relativeFrom="column">
                  <wp:posOffset>655638</wp:posOffset>
                </wp:positionH>
                <wp:positionV relativeFrom="paragraph">
                  <wp:posOffset>1298258</wp:posOffset>
                </wp:positionV>
                <wp:extent cx="3749675" cy="357505"/>
                <wp:effectExtent l="0" t="0" r="0" b="0"/>
                <wp:wrapSquare wrapText="bothSides" distT="45720" distB="45720" distL="114300" distR="114300"/>
                <wp:docPr id="1857035731" name="Rectángulo 1857035731"/>
                <wp:cNvGraphicFramePr/>
                <a:graphic xmlns:a="http://schemas.openxmlformats.org/drawingml/2006/main">
                  <a:graphicData uri="http://schemas.microsoft.com/office/word/2010/wordprocessingShape">
                    <wps:wsp>
                      <wps:cNvSpPr/>
                      <wps:spPr>
                        <a:xfrm>
                          <a:off x="3490213" y="3620298"/>
                          <a:ext cx="3711575" cy="319405"/>
                        </a:xfrm>
                        <a:prstGeom prst="rect">
                          <a:avLst/>
                        </a:prstGeom>
                        <a:noFill/>
                        <a:ln>
                          <a:noFill/>
                        </a:ln>
                      </wps:spPr>
                      <wps:txbx>
                        <w:txbxContent>
                          <w:p w14:paraId="48931BE0" w14:textId="77777777" w:rsidR="002033A5" w:rsidRPr="00E619C8" w:rsidRDefault="00E113EC">
                            <w:pPr>
                              <w:textDirection w:val="btLr"/>
                            </w:pPr>
                            <w:r w:rsidRPr="00E619C8">
                              <w:rPr>
                                <w:rFonts w:ascii="Arial" w:eastAsia="Arial" w:hAnsi="Arial" w:cs="Arial"/>
                                <w:b/>
                                <w:color w:val="FFFFFF"/>
                                <w:sz w:val="30"/>
                              </w:rPr>
                              <w:t>cost@infrastructuretransparency.org</w:t>
                            </w:r>
                          </w:p>
                        </w:txbxContent>
                      </wps:txbx>
                      <wps:bodyPr spcFirstLastPara="1" wrap="square" lIns="91425" tIns="45700" rIns="91425" bIns="45700" anchor="ctr" anchorCtr="0">
                        <a:noAutofit/>
                      </wps:bodyPr>
                    </wps:wsp>
                  </a:graphicData>
                </a:graphic>
              </wp:anchor>
            </w:drawing>
          </mc:Choice>
          <mc:Fallback>
            <w:pict>
              <v:rect w14:anchorId="13AB56A9" id="Rectángulo 1857035731" o:spid="_x0000_s1029" style="position:absolute;left:0;text-align:left;margin-left:51.65pt;margin-top:102.25pt;width:295.25pt;height:28.15pt;z-index:251658248;visibility:visible;mso-wrap-style:square;mso-wrap-distance-left:9pt;mso-wrap-distance-top:3.6pt;mso-wrap-distance-right:9pt;mso-wrap-distance-bottom:3.6pt;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" filled="f" stroked="f">
                <v:textbox inset="2.53958mm,1.2694mm,2.53958mm,1.2694mm">
                  <w:txbxContent>
                    <w:p w14:paraId="48931BE0" w14:textId="77777777" w:rsidR="002033A5" w:rsidRPr="00E619C8" w:rsidRDefault="00E113EC">
                      <w:pPr>
                        <w:textDirection w:val="btLr"/>
                      </w:pPr>
                      <w:r w:rsidRPr="00E619C8">
                        <w:rPr>
                          <w:rFonts w:ascii="Arial" w:eastAsia="Arial" w:hAnsi="Arial" w:cs="Arial"/>
                          <w:b/>
                          <w:color w:val="FFFFFF"/>
                          <w:sz w:val="30"/>
                        </w:rPr>
                        <w:t>cost@infrastructuretransparency.org</w:t>
                      </w:r>
                    </w:p>
                  </w:txbxContent>
                </v:textbox>
                <w10:wrap type="square"/>
              </v:rect>
            </w:pict>
          </mc:Fallback>
        </mc:AlternateContent>
      </w:r>
    </w:p>
    <w:p w14:paraId="3FCB9FF1" w14:textId="77777777" w:rsidR="002033A5" w:rsidRPr="00E619C8" w:rsidRDefault="00E113EC">
      <w:pPr>
        <w:spacing w:after="160" w:line="300" w:lineRule="auto"/>
        <w:jc w:val="both"/>
        <w:rPr>
          <w:rFonts w:ascii="Arial" w:eastAsia="Arial" w:hAnsi="Arial" w:cs="Arial"/>
          <w:sz w:val="22"/>
          <w:szCs w:val="22"/>
        </w:rPr>
      </w:pPr>
      <w:r w:rsidRPr="00E619C8">
        <w:rPr>
          <w:rFonts w:ascii="Arial" w:eastAsia="Arial" w:hAnsi="Arial" w:cs="Arial"/>
          <w:sz w:val="22"/>
          <w:szCs w:val="22"/>
        </w:rPr>
        <w:t>Position 2: Rumah Sakit Mandalika</w:t>
      </w:r>
    </w:p>
    <w:p w14:paraId="01C3C46F"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noProof/>
          <w:sz w:val="20"/>
          <w:szCs w:val="20"/>
        </w:rPr>
        <w:drawing>
          <wp:inline distT="114300" distB="114300" distL="114300" distR="114300" wp14:anchorId="739CEFF1" wp14:editId="66ADEA9B">
            <wp:extent cx="5731200" cy="4318000"/>
            <wp:effectExtent l="0" t="0" r="0" b="0"/>
            <wp:docPr id="1857035738" name="image17.png"/>
            <wp:cNvGraphicFramePr/>
            <a:graphic xmlns:a="http://schemas.openxmlformats.org/drawingml/2006/main">
              <a:graphicData uri="http://schemas.openxmlformats.org/drawingml/2006/picture">
                <pic:pic xmlns:pic="http://schemas.openxmlformats.org/drawingml/2006/picture">
                  <pic:nvPicPr>
                    <pic:cNvPr id="0" name="image17.png"/>
                    <pic:cNvPicPr preferRelativeResize="0"/>
                  </pic:nvPicPr>
                  <pic:blipFill>
                    <a:blip r:embed="rId39"/>
                    <a:srcRect/>
                    <a:stretch>
                      <a:fillRect/>
                    </a:stretch>
                  </pic:blipFill>
                  <pic:spPr>
                    <a:xfrm>
                      <a:off x="0" y="0"/>
                      <a:ext cx="5731200" cy="4318000"/>
                    </a:xfrm>
                    <a:prstGeom prst="rect">
                      <a:avLst/>
                    </a:prstGeom>
                    <a:ln/>
                  </pic:spPr>
                </pic:pic>
              </a:graphicData>
            </a:graphic>
          </wp:inline>
        </w:drawing>
      </w:r>
    </w:p>
    <w:p w14:paraId="4E538EAB" w14:textId="77777777" w:rsidR="002033A5" w:rsidRPr="00E619C8" w:rsidRDefault="002033A5">
      <w:pPr>
        <w:spacing w:after="160" w:line="300" w:lineRule="auto"/>
        <w:jc w:val="both"/>
        <w:rPr>
          <w:rFonts w:ascii="Arial" w:eastAsia="Arial" w:hAnsi="Arial" w:cs="Arial"/>
          <w:sz w:val="20"/>
          <w:szCs w:val="20"/>
        </w:rPr>
      </w:pPr>
    </w:p>
    <w:p w14:paraId="769526BD" w14:textId="77777777" w:rsidR="002033A5" w:rsidRPr="00E619C8" w:rsidRDefault="00E113EC">
      <w:pPr>
        <w:spacing w:after="160" w:line="300" w:lineRule="auto"/>
        <w:jc w:val="both"/>
        <w:rPr>
          <w:rFonts w:ascii="Arial" w:eastAsia="Arial" w:hAnsi="Arial" w:cs="Arial"/>
          <w:sz w:val="20"/>
          <w:szCs w:val="20"/>
        </w:rPr>
      </w:pPr>
      <w:r w:rsidRPr="00E619C8">
        <w:br w:type="page"/>
      </w:r>
    </w:p>
    <w:p w14:paraId="52FC11BA"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sz w:val="20"/>
          <w:szCs w:val="20"/>
        </w:rPr>
        <w:t>Position 3: Rumah Sakit Jiwa Mutiara Sukma Provinsi</w:t>
      </w:r>
    </w:p>
    <w:p w14:paraId="2B40EA28"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noProof/>
          <w:sz w:val="20"/>
          <w:szCs w:val="20"/>
        </w:rPr>
        <w:drawing>
          <wp:inline distT="114300" distB="114300" distL="114300" distR="114300" wp14:anchorId="390E3877" wp14:editId="7199063E">
            <wp:extent cx="5731200" cy="4330700"/>
            <wp:effectExtent l="0" t="0" r="0" b="0"/>
            <wp:docPr id="1857035767" name="image26.png"/>
            <wp:cNvGraphicFramePr/>
            <a:graphic xmlns:a="http://schemas.openxmlformats.org/drawingml/2006/main">
              <a:graphicData uri="http://schemas.openxmlformats.org/drawingml/2006/picture">
                <pic:pic xmlns:pic="http://schemas.openxmlformats.org/drawingml/2006/picture">
                  <pic:nvPicPr>
                    <pic:cNvPr id="0" name="image26.png"/>
                    <pic:cNvPicPr preferRelativeResize="0"/>
                  </pic:nvPicPr>
                  <pic:blipFill>
                    <a:blip r:embed="rId40"/>
                    <a:srcRect/>
                    <a:stretch>
                      <a:fillRect/>
                    </a:stretch>
                  </pic:blipFill>
                  <pic:spPr>
                    <a:xfrm>
                      <a:off x="0" y="0"/>
                      <a:ext cx="5731200" cy="4330700"/>
                    </a:xfrm>
                    <a:prstGeom prst="rect">
                      <a:avLst/>
                    </a:prstGeom>
                    <a:ln/>
                  </pic:spPr>
                </pic:pic>
              </a:graphicData>
            </a:graphic>
          </wp:inline>
        </w:drawing>
      </w:r>
      <w:r w:rsidRPr="00E619C8">
        <w:br w:type="page"/>
      </w:r>
    </w:p>
    <w:p w14:paraId="7463D559"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sz w:val="20"/>
          <w:szCs w:val="20"/>
        </w:rPr>
        <w:t>Position 4: Dinas Kelautan dan Perikanan</w:t>
      </w:r>
    </w:p>
    <w:p w14:paraId="34FCA8D9"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noProof/>
          <w:sz w:val="20"/>
          <w:szCs w:val="20"/>
        </w:rPr>
        <w:drawing>
          <wp:inline distT="114300" distB="114300" distL="114300" distR="114300" wp14:anchorId="169170A3" wp14:editId="649AD748">
            <wp:extent cx="5731200" cy="4318000"/>
            <wp:effectExtent l="0" t="0" r="0" b="0"/>
            <wp:docPr id="1857035776" name="image41.png"/>
            <wp:cNvGraphicFramePr/>
            <a:graphic xmlns:a="http://schemas.openxmlformats.org/drawingml/2006/main">
              <a:graphicData uri="http://schemas.openxmlformats.org/drawingml/2006/picture">
                <pic:pic xmlns:pic="http://schemas.openxmlformats.org/drawingml/2006/picture">
                  <pic:nvPicPr>
                    <pic:cNvPr id="0" name="image41.png"/>
                    <pic:cNvPicPr preferRelativeResize="0"/>
                  </pic:nvPicPr>
                  <pic:blipFill>
                    <a:blip r:embed="rId41"/>
                    <a:srcRect/>
                    <a:stretch>
                      <a:fillRect/>
                    </a:stretch>
                  </pic:blipFill>
                  <pic:spPr>
                    <a:xfrm>
                      <a:off x="0" y="0"/>
                      <a:ext cx="5731200" cy="4318000"/>
                    </a:xfrm>
                    <a:prstGeom prst="rect">
                      <a:avLst/>
                    </a:prstGeom>
                    <a:ln/>
                  </pic:spPr>
                </pic:pic>
              </a:graphicData>
            </a:graphic>
          </wp:inline>
        </w:drawing>
      </w:r>
      <w:r w:rsidRPr="00E619C8">
        <w:rPr>
          <w:rFonts w:ascii="Arial" w:eastAsia="Arial" w:hAnsi="Arial" w:cs="Arial"/>
          <w:sz w:val="20"/>
          <w:szCs w:val="20"/>
        </w:rPr>
        <w:br/>
      </w:r>
      <w:r w:rsidRPr="00E619C8">
        <w:br w:type="page"/>
      </w:r>
    </w:p>
    <w:p w14:paraId="5BE66DDD"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sz w:val="20"/>
          <w:szCs w:val="20"/>
        </w:rPr>
        <w:t>Position 5: Dinas Pekerjaan Umum dan Penataan Ruang (Bidang Sumber Daya Air)</w:t>
      </w:r>
    </w:p>
    <w:p w14:paraId="321199BE"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noProof/>
          <w:sz w:val="20"/>
          <w:szCs w:val="20"/>
        </w:rPr>
        <w:drawing>
          <wp:inline distT="114300" distB="114300" distL="114300" distR="114300" wp14:anchorId="2341DC98" wp14:editId="30B87B3A">
            <wp:extent cx="5731200" cy="4305300"/>
            <wp:effectExtent l="0" t="0" r="0" b="0"/>
            <wp:docPr id="1857035761" name="image20.png"/>
            <wp:cNvGraphicFramePr/>
            <a:graphic xmlns:a="http://schemas.openxmlformats.org/drawingml/2006/main">
              <a:graphicData uri="http://schemas.openxmlformats.org/drawingml/2006/picture">
                <pic:pic xmlns:pic="http://schemas.openxmlformats.org/drawingml/2006/picture">
                  <pic:nvPicPr>
                    <pic:cNvPr id="0" name="image20.png"/>
                    <pic:cNvPicPr preferRelativeResize="0"/>
                  </pic:nvPicPr>
                  <pic:blipFill>
                    <a:blip r:embed="rId42"/>
                    <a:srcRect/>
                    <a:stretch>
                      <a:fillRect/>
                    </a:stretch>
                  </pic:blipFill>
                  <pic:spPr>
                    <a:xfrm>
                      <a:off x="0" y="0"/>
                      <a:ext cx="5731200" cy="4305300"/>
                    </a:xfrm>
                    <a:prstGeom prst="rect">
                      <a:avLst/>
                    </a:prstGeom>
                    <a:ln/>
                  </pic:spPr>
                </pic:pic>
              </a:graphicData>
            </a:graphic>
          </wp:inline>
        </w:drawing>
      </w:r>
      <w:r w:rsidRPr="00E619C8">
        <w:br w:type="page"/>
      </w:r>
    </w:p>
    <w:p w14:paraId="6843DB6C"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sz w:val="20"/>
          <w:szCs w:val="20"/>
        </w:rPr>
        <w:t>Position 6: Dinas Pertanian dan Perkebunan</w:t>
      </w:r>
    </w:p>
    <w:p w14:paraId="0E45B06E"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noProof/>
          <w:sz w:val="20"/>
          <w:szCs w:val="20"/>
        </w:rPr>
        <w:drawing>
          <wp:inline distT="114300" distB="114300" distL="114300" distR="114300" wp14:anchorId="305C28E7" wp14:editId="5A99EEAC">
            <wp:extent cx="5731200" cy="4318000"/>
            <wp:effectExtent l="0" t="0" r="0" b="0"/>
            <wp:docPr id="1857035763" name="image25.png"/>
            <wp:cNvGraphicFramePr/>
            <a:graphic xmlns:a="http://schemas.openxmlformats.org/drawingml/2006/main">
              <a:graphicData uri="http://schemas.openxmlformats.org/drawingml/2006/picture">
                <pic:pic xmlns:pic="http://schemas.openxmlformats.org/drawingml/2006/picture">
                  <pic:nvPicPr>
                    <pic:cNvPr id="0" name="image25.png"/>
                    <pic:cNvPicPr preferRelativeResize="0"/>
                  </pic:nvPicPr>
                  <pic:blipFill>
                    <a:blip r:embed="rId43"/>
                    <a:srcRect/>
                    <a:stretch>
                      <a:fillRect/>
                    </a:stretch>
                  </pic:blipFill>
                  <pic:spPr>
                    <a:xfrm>
                      <a:off x="0" y="0"/>
                      <a:ext cx="5731200" cy="4318000"/>
                    </a:xfrm>
                    <a:prstGeom prst="rect">
                      <a:avLst/>
                    </a:prstGeom>
                    <a:ln/>
                  </pic:spPr>
                </pic:pic>
              </a:graphicData>
            </a:graphic>
          </wp:inline>
        </w:drawing>
      </w:r>
    </w:p>
    <w:p w14:paraId="228E188C" w14:textId="77777777" w:rsidR="002033A5" w:rsidRPr="00E619C8" w:rsidRDefault="00E113EC">
      <w:pPr>
        <w:spacing w:after="160" w:line="300" w:lineRule="auto"/>
        <w:jc w:val="both"/>
        <w:rPr>
          <w:rFonts w:ascii="Arial" w:eastAsia="Arial" w:hAnsi="Arial" w:cs="Arial"/>
          <w:sz w:val="20"/>
          <w:szCs w:val="20"/>
        </w:rPr>
      </w:pPr>
      <w:r w:rsidRPr="00E619C8">
        <w:br w:type="page"/>
      </w:r>
    </w:p>
    <w:p w14:paraId="40506942"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sz w:val="20"/>
          <w:szCs w:val="20"/>
        </w:rPr>
        <w:t>Position 7: Badan Pengelolaan Pendapatan Daerah</w:t>
      </w:r>
    </w:p>
    <w:p w14:paraId="67E2DDDE"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noProof/>
          <w:sz w:val="20"/>
          <w:szCs w:val="20"/>
        </w:rPr>
        <w:drawing>
          <wp:inline distT="114300" distB="114300" distL="114300" distR="114300" wp14:anchorId="5E6624A2" wp14:editId="0F984720">
            <wp:extent cx="5731200" cy="4318000"/>
            <wp:effectExtent l="0" t="0" r="0" b="0"/>
            <wp:docPr id="1857035745" name="image9.png"/>
            <wp:cNvGraphicFramePr/>
            <a:graphic xmlns:a="http://schemas.openxmlformats.org/drawingml/2006/main">
              <a:graphicData uri="http://schemas.openxmlformats.org/drawingml/2006/picture">
                <pic:pic xmlns:pic="http://schemas.openxmlformats.org/drawingml/2006/picture">
                  <pic:nvPicPr>
                    <pic:cNvPr id="0" name="image9.png"/>
                    <pic:cNvPicPr preferRelativeResize="0"/>
                  </pic:nvPicPr>
                  <pic:blipFill>
                    <a:blip r:embed="rId44"/>
                    <a:srcRect/>
                    <a:stretch>
                      <a:fillRect/>
                    </a:stretch>
                  </pic:blipFill>
                  <pic:spPr>
                    <a:xfrm>
                      <a:off x="0" y="0"/>
                      <a:ext cx="5731200" cy="4318000"/>
                    </a:xfrm>
                    <a:prstGeom prst="rect">
                      <a:avLst/>
                    </a:prstGeom>
                    <a:ln/>
                  </pic:spPr>
                </pic:pic>
              </a:graphicData>
            </a:graphic>
          </wp:inline>
        </w:drawing>
      </w:r>
    </w:p>
    <w:p w14:paraId="05668623" w14:textId="77777777" w:rsidR="002033A5" w:rsidRPr="00E619C8" w:rsidRDefault="00E113EC">
      <w:pPr>
        <w:spacing w:after="160" w:line="300" w:lineRule="auto"/>
        <w:jc w:val="both"/>
        <w:rPr>
          <w:rFonts w:ascii="Arial" w:eastAsia="Arial" w:hAnsi="Arial" w:cs="Arial"/>
          <w:sz w:val="20"/>
          <w:szCs w:val="20"/>
        </w:rPr>
      </w:pPr>
      <w:r w:rsidRPr="00E619C8">
        <w:br w:type="page"/>
      </w:r>
    </w:p>
    <w:p w14:paraId="4934A330"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sz w:val="20"/>
          <w:szCs w:val="20"/>
        </w:rPr>
        <w:t>Position 8: Dinas Lingkungan Hidup dan Kehutanan</w:t>
      </w:r>
    </w:p>
    <w:p w14:paraId="0365444E"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noProof/>
          <w:sz w:val="20"/>
          <w:szCs w:val="20"/>
        </w:rPr>
        <w:drawing>
          <wp:inline distT="114300" distB="114300" distL="114300" distR="114300" wp14:anchorId="5FED5C28" wp14:editId="2FF559F3">
            <wp:extent cx="5731200" cy="4318000"/>
            <wp:effectExtent l="0" t="0" r="0" b="0"/>
            <wp:docPr id="1857035752" name="image12.png"/>
            <wp:cNvGraphicFramePr/>
            <a:graphic xmlns:a="http://schemas.openxmlformats.org/drawingml/2006/main">
              <a:graphicData uri="http://schemas.openxmlformats.org/drawingml/2006/picture">
                <pic:pic xmlns:pic="http://schemas.openxmlformats.org/drawingml/2006/picture">
                  <pic:nvPicPr>
                    <pic:cNvPr id="0" name="image12.png"/>
                    <pic:cNvPicPr preferRelativeResize="0"/>
                  </pic:nvPicPr>
                  <pic:blipFill>
                    <a:blip r:embed="rId45"/>
                    <a:srcRect/>
                    <a:stretch>
                      <a:fillRect/>
                    </a:stretch>
                  </pic:blipFill>
                  <pic:spPr>
                    <a:xfrm>
                      <a:off x="0" y="0"/>
                      <a:ext cx="5731200" cy="4318000"/>
                    </a:xfrm>
                    <a:prstGeom prst="rect">
                      <a:avLst/>
                    </a:prstGeom>
                    <a:ln/>
                  </pic:spPr>
                </pic:pic>
              </a:graphicData>
            </a:graphic>
          </wp:inline>
        </w:drawing>
      </w:r>
    </w:p>
    <w:p w14:paraId="5EFA0BF9" w14:textId="77777777" w:rsidR="002033A5" w:rsidRPr="00E619C8" w:rsidRDefault="00E113EC">
      <w:pPr>
        <w:spacing w:after="160" w:line="300" w:lineRule="auto"/>
        <w:jc w:val="both"/>
        <w:rPr>
          <w:rFonts w:ascii="Arial" w:eastAsia="Arial" w:hAnsi="Arial" w:cs="Arial"/>
          <w:sz w:val="20"/>
          <w:szCs w:val="20"/>
        </w:rPr>
      </w:pPr>
      <w:r w:rsidRPr="00E619C8">
        <w:br w:type="page"/>
      </w:r>
    </w:p>
    <w:p w14:paraId="39AA2CAB"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sz w:val="20"/>
          <w:szCs w:val="20"/>
        </w:rPr>
        <w:t>Position 9: Dinas Pendidikan dan Kebudayaan</w:t>
      </w:r>
    </w:p>
    <w:p w14:paraId="50807476"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noProof/>
          <w:sz w:val="20"/>
          <w:szCs w:val="20"/>
        </w:rPr>
        <w:drawing>
          <wp:inline distT="114300" distB="114300" distL="114300" distR="114300" wp14:anchorId="72889CEF" wp14:editId="7DF97EF9">
            <wp:extent cx="5731200" cy="4330700"/>
            <wp:effectExtent l="0" t="0" r="0" b="0"/>
            <wp:docPr id="1857035737" name="image15.png"/>
            <wp:cNvGraphicFramePr/>
            <a:graphic xmlns:a="http://schemas.openxmlformats.org/drawingml/2006/main">
              <a:graphicData uri="http://schemas.openxmlformats.org/drawingml/2006/picture">
                <pic:pic xmlns:pic="http://schemas.openxmlformats.org/drawingml/2006/picture">
                  <pic:nvPicPr>
                    <pic:cNvPr id="0" name="image15.png"/>
                    <pic:cNvPicPr preferRelativeResize="0"/>
                  </pic:nvPicPr>
                  <pic:blipFill>
                    <a:blip r:embed="rId46"/>
                    <a:srcRect/>
                    <a:stretch>
                      <a:fillRect/>
                    </a:stretch>
                  </pic:blipFill>
                  <pic:spPr>
                    <a:xfrm>
                      <a:off x="0" y="0"/>
                      <a:ext cx="5731200" cy="4330700"/>
                    </a:xfrm>
                    <a:prstGeom prst="rect">
                      <a:avLst/>
                    </a:prstGeom>
                    <a:ln/>
                  </pic:spPr>
                </pic:pic>
              </a:graphicData>
            </a:graphic>
          </wp:inline>
        </w:drawing>
      </w:r>
    </w:p>
    <w:p w14:paraId="6B00B2A0" w14:textId="77777777" w:rsidR="002033A5" w:rsidRPr="00E619C8" w:rsidRDefault="00E113EC">
      <w:pPr>
        <w:spacing w:after="160" w:line="300" w:lineRule="auto"/>
        <w:jc w:val="both"/>
        <w:rPr>
          <w:rFonts w:ascii="Arial" w:eastAsia="Arial" w:hAnsi="Arial" w:cs="Arial"/>
          <w:sz w:val="20"/>
          <w:szCs w:val="20"/>
        </w:rPr>
      </w:pPr>
      <w:r w:rsidRPr="00E619C8">
        <w:br w:type="page"/>
      </w:r>
    </w:p>
    <w:p w14:paraId="14D18336"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sz w:val="20"/>
          <w:szCs w:val="20"/>
        </w:rPr>
        <w:t>Position 10: Dinas Perindustrian</w:t>
      </w:r>
    </w:p>
    <w:p w14:paraId="44A3756D"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noProof/>
          <w:sz w:val="20"/>
          <w:szCs w:val="20"/>
        </w:rPr>
        <w:drawing>
          <wp:inline distT="114300" distB="114300" distL="114300" distR="114300" wp14:anchorId="678903ED" wp14:editId="0E68837A">
            <wp:extent cx="5731200" cy="4318000"/>
            <wp:effectExtent l="0" t="0" r="0" b="0"/>
            <wp:docPr id="1857035749" name="image8.png"/>
            <wp:cNvGraphicFramePr/>
            <a:graphic xmlns:a="http://schemas.openxmlformats.org/drawingml/2006/main">
              <a:graphicData uri="http://schemas.openxmlformats.org/drawingml/2006/picture">
                <pic:pic xmlns:pic="http://schemas.openxmlformats.org/drawingml/2006/picture">
                  <pic:nvPicPr>
                    <pic:cNvPr id="0" name="image8.png"/>
                    <pic:cNvPicPr preferRelativeResize="0"/>
                  </pic:nvPicPr>
                  <pic:blipFill>
                    <a:blip r:embed="rId47"/>
                    <a:srcRect/>
                    <a:stretch>
                      <a:fillRect/>
                    </a:stretch>
                  </pic:blipFill>
                  <pic:spPr>
                    <a:xfrm>
                      <a:off x="0" y="0"/>
                      <a:ext cx="5731200" cy="4318000"/>
                    </a:xfrm>
                    <a:prstGeom prst="rect">
                      <a:avLst/>
                    </a:prstGeom>
                    <a:ln/>
                  </pic:spPr>
                </pic:pic>
              </a:graphicData>
            </a:graphic>
          </wp:inline>
        </w:drawing>
      </w:r>
    </w:p>
    <w:p w14:paraId="4DDCA306" w14:textId="77777777" w:rsidR="002033A5" w:rsidRPr="00E619C8" w:rsidRDefault="00E113EC">
      <w:pPr>
        <w:spacing w:after="160" w:line="300" w:lineRule="auto"/>
        <w:jc w:val="both"/>
        <w:rPr>
          <w:rFonts w:ascii="Arial" w:eastAsia="Arial" w:hAnsi="Arial" w:cs="Arial"/>
          <w:sz w:val="20"/>
          <w:szCs w:val="20"/>
        </w:rPr>
      </w:pPr>
      <w:r w:rsidRPr="00E619C8">
        <w:br w:type="page"/>
      </w:r>
    </w:p>
    <w:p w14:paraId="24670183"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sz w:val="20"/>
          <w:szCs w:val="20"/>
        </w:rPr>
        <w:t>Position 11: Dinas Pemuda dan Olahraga</w:t>
      </w:r>
    </w:p>
    <w:p w14:paraId="1EB1BA63"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noProof/>
          <w:sz w:val="20"/>
          <w:szCs w:val="20"/>
        </w:rPr>
        <w:drawing>
          <wp:inline distT="114300" distB="114300" distL="114300" distR="114300" wp14:anchorId="5A8893C5" wp14:editId="4499CC1A">
            <wp:extent cx="5731200" cy="4318000"/>
            <wp:effectExtent l="0" t="0" r="0" b="0"/>
            <wp:docPr id="1857035740"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48"/>
                    <a:srcRect/>
                    <a:stretch>
                      <a:fillRect/>
                    </a:stretch>
                  </pic:blipFill>
                  <pic:spPr>
                    <a:xfrm>
                      <a:off x="0" y="0"/>
                      <a:ext cx="5731200" cy="4318000"/>
                    </a:xfrm>
                    <a:prstGeom prst="rect">
                      <a:avLst/>
                    </a:prstGeom>
                    <a:ln/>
                  </pic:spPr>
                </pic:pic>
              </a:graphicData>
            </a:graphic>
          </wp:inline>
        </w:drawing>
      </w:r>
    </w:p>
    <w:p w14:paraId="2348197F" w14:textId="77777777" w:rsidR="002033A5" w:rsidRPr="00E619C8" w:rsidRDefault="00E113EC">
      <w:pPr>
        <w:spacing w:after="160" w:line="300" w:lineRule="auto"/>
        <w:jc w:val="both"/>
        <w:rPr>
          <w:rFonts w:ascii="Arial" w:eastAsia="Arial" w:hAnsi="Arial" w:cs="Arial"/>
          <w:sz w:val="20"/>
          <w:szCs w:val="20"/>
        </w:rPr>
      </w:pPr>
      <w:r w:rsidRPr="00E619C8">
        <w:br w:type="page"/>
      </w:r>
    </w:p>
    <w:p w14:paraId="2006D316"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sz w:val="20"/>
          <w:szCs w:val="20"/>
        </w:rPr>
        <w:t>Position 12: Dinas Koperasi Usaha Kecil dan Menengah</w:t>
      </w:r>
    </w:p>
    <w:p w14:paraId="40DCC471"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noProof/>
          <w:sz w:val="20"/>
          <w:szCs w:val="20"/>
        </w:rPr>
        <w:drawing>
          <wp:inline distT="114300" distB="114300" distL="114300" distR="114300" wp14:anchorId="5B37CB9F" wp14:editId="068B8C39">
            <wp:extent cx="5731200" cy="4305300"/>
            <wp:effectExtent l="0" t="0" r="0" b="0"/>
            <wp:docPr id="1857035754" name="image11.png"/>
            <wp:cNvGraphicFramePr/>
            <a:graphic xmlns:a="http://schemas.openxmlformats.org/drawingml/2006/main">
              <a:graphicData uri="http://schemas.openxmlformats.org/drawingml/2006/picture">
                <pic:pic xmlns:pic="http://schemas.openxmlformats.org/drawingml/2006/picture">
                  <pic:nvPicPr>
                    <pic:cNvPr id="0" name="image11.png"/>
                    <pic:cNvPicPr preferRelativeResize="0"/>
                  </pic:nvPicPr>
                  <pic:blipFill>
                    <a:blip r:embed="rId49"/>
                    <a:srcRect/>
                    <a:stretch>
                      <a:fillRect/>
                    </a:stretch>
                  </pic:blipFill>
                  <pic:spPr>
                    <a:xfrm>
                      <a:off x="0" y="0"/>
                      <a:ext cx="5731200" cy="4305300"/>
                    </a:xfrm>
                    <a:prstGeom prst="rect">
                      <a:avLst/>
                    </a:prstGeom>
                    <a:ln/>
                  </pic:spPr>
                </pic:pic>
              </a:graphicData>
            </a:graphic>
          </wp:inline>
        </w:drawing>
      </w:r>
    </w:p>
    <w:p w14:paraId="7068E788" w14:textId="77777777" w:rsidR="002033A5" w:rsidRPr="00E619C8" w:rsidRDefault="00E113EC">
      <w:pPr>
        <w:spacing w:after="160" w:line="300" w:lineRule="auto"/>
        <w:jc w:val="both"/>
        <w:rPr>
          <w:rFonts w:ascii="Arial" w:eastAsia="Arial" w:hAnsi="Arial" w:cs="Arial"/>
          <w:sz w:val="20"/>
          <w:szCs w:val="20"/>
        </w:rPr>
      </w:pPr>
      <w:r w:rsidRPr="00E619C8">
        <w:br w:type="page"/>
      </w:r>
    </w:p>
    <w:p w14:paraId="03874D5D"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sz w:val="20"/>
          <w:szCs w:val="20"/>
        </w:rPr>
        <w:t>Position 13: Dinas Pariwisata</w:t>
      </w:r>
    </w:p>
    <w:p w14:paraId="78AF8D1F"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noProof/>
          <w:sz w:val="20"/>
          <w:szCs w:val="20"/>
        </w:rPr>
        <w:drawing>
          <wp:inline distT="114300" distB="114300" distL="114300" distR="114300" wp14:anchorId="328F2B0B" wp14:editId="397311A6">
            <wp:extent cx="5731200" cy="4318000"/>
            <wp:effectExtent l="0" t="0" r="0" b="0"/>
            <wp:docPr id="1857035739" name="image7.png"/>
            <wp:cNvGraphicFramePr/>
            <a:graphic xmlns:a="http://schemas.openxmlformats.org/drawingml/2006/main">
              <a:graphicData uri="http://schemas.openxmlformats.org/drawingml/2006/picture">
                <pic:pic xmlns:pic="http://schemas.openxmlformats.org/drawingml/2006/picture">
                  <pic:nvPicPr>
                    <pic:cNvPr id="0" name="image7.png"/>
                    <pic:cNvPicPr preferRelativeResize="0"/>
                  </pic:nvPicPr>
                  <pic:blipFill>
                    <a:blip r:embed="rId50"/>
                    <a:srcRect/>
                    <a:stretch>
                      <a:fillRect/>
                    </a:stretch>
                  </pic:blipFill>
                  <pic:spPr>
                    <a:xfrm>
                      <a:off x="0" y="0"/>
                      <a:ext cx="5731200" cy="4318000"/>
                    </a:xfrm>
                    <a:prstGeom prst="rect">
                      <a:avLst/>
                    </a:prstGeom>
                    <a:ln/>
                  </pic:spPr>
                </pic:pic>
              </a:graphicData>
            </a:graphic>
          </wp:inline>
        </w:drawing>
      </w:r>
    </w:p>
    <w:p w14:paraId="01C5E224" w14:textId="77777777" w:rsidR="002033A5" w:rsidRPr="00E619C8" w:rsidRDefault="00E113EC">
      <w:pPr>
        <w:spacing w:after="160" w:line="300" w:lineRule="auto"/>
        <w:jc w:val="both"/>
        <w:rPr>
          <w:rFonts w:ascii="Arial" w:eastAsia="Arial" w:hAnsi="Arial" w:cs="Arial"/>
          <w:sz w:val="20"/>
          <w:szCs w:val="20"/>
        </w:rPr>
      </w:pPr>
      <w:r w:rsidRPr="00E619C8">
        <w:br w:type="page"/>
      </w:r>
    </w:p>
    <w:p w14:paraId="1F812691"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sz w:val="20"/>
          <w:szCs w:val="20"/>
        </w:rPr>
        <w:t>Position 14: Dinas Perumahan dan Permukiman</w:t>
      </w:r>
    </w:p>
    <w:p w14:paraId="38B157F4"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noProof/>
          <w:sz w:val="20"/>
          <w:szCs w:val="20"/>
        </w:rPr>
        <w:drawing>
          <wp:inline distT="114300" distB="114300" distL="114300" distR="114300" wp14:anchorId="0E78E02E" wp14:editId="4E3CF424">
            <wp:extent cx="5731200" cy="4318000"/>
            <wp:effectExtent l="0" t="0" r="0" b="0"/>
            <wp:docPr id="1857035765" name="image33.png"/>
            <wp:cNvGraphicFramePr/>
            <a:graphic xmlns:a="http://schemas.openxmlformats.org/drawingml/2006/main">
              <a:graphicData uri="http://schemas.openxmlformats.org/drawingml/2006/picture">
                <pic:pic xmlns:pic="http://schemas.openxmlformats.org/drawingml/2006/picture">
                  <pic:nvPicPr>
                    <pic:cNvPr id="0" name="image33.png"/>
                    <pic:cNvPicPr preferRelativeResize="0"/>
                  </pic:nvPicPr>
                  <pic:blipFill>
                    <a:blip r:embed="rId51"/>
                    <a:srcRect/>
                    <a:stretch>
                      <a:fillRect/>
                    </a:stretch>
                  </pic:blipFill>
                  <pic:spPr>
                    <a:xfrm>
                      <a:off x="0" y="0"/>
                      <a:ext cx="5731200" cy="4318000"/>
                    </a:xfrm>
                    <a:prstGeom prst="rect">
                      <a:avLst/>
                    </a:prstGeom>
                    <a:ln/>
                  </pic:spPr>
                </pic:pic>
              </a:graphicData>
            </a:graphic>
          </wp:inline>
        </w:drawing>
      </w:r>
    </w:p>
    <w:p w14:paraId="0687FCDE" w14:textId="77777777" w:rsidR="002033A5" w:rsidRPr="00E619C8" w:rsidRDefault="00E113EC">
      <w:pPr>
        <w:spacing w:after="160" w:line="300" w:lineRule="auto"/>
        <w:jc w:val="both"/>
        <w:rPr>
          <w:rFonts w:ascii="Arial" w:eastAsia="Arial" w:hAnsi="Arial" w:cs="Arial"/>
          <w:sz w:val="20"/>
          <w:szCs w:val="20"/>
        </w:rPr>
      </w:pPr>
      <w:r w:rsidRPr="00E619C8">
        <w:br w:type="page"/>
      </w:r>
    </w:p>
    <w:p w14:paraId="29FC803B"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sz w:val="20"/>
          <w:szCs w:val="20"/>
        </w:rPr>
        <w:t>Position 15: Rumah Sakit H. L. Manambai Abdul Kadir</w:t>
      </w:r>
    </w:p>
    <w:p w14:paraId="56D01805"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noProof/>
          <w:sz w:val="20"/>
          <w:szCs w:val="20"/>
        </w:rPr>
        <w:drawing>
          <wp:inline distT="114300" distB="114300" distL="114300" distR="114300" wp14:anchorId="136EE219" wp14:editId="1FE48478">
            <wp:extent cx="5731200" cy="4305300"/>
            <wp:effectExtent l="0" t="0" r="0" b="0"/>
            <wp:docPr id="185703574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52"/>
                    <a:srcRect/>
                    <a:stretch>
                      <a:fillRect/>
                    </a:stretch>
                  </pic:blipFill>
                  <pic:spPr>
                    <a:xfrm>
                      <a:off x="0" y="0"/>
                      <a:ext cx="5731200" cy="4305300"/>
                    </a:xfrm>
                    <a:prstGeom prst="rect">
                      <a:avLst/>
                    </a:prstGeom>
                    <a:ln/>
                  </pic:spPr>
                </pic:pic>
              </a:graphicData>
            </a:graphic>
          </wp:inline>
        </w:drawing>
      </w:r>
    </w:p>
    <w:p w14:paraId="083667B0" w14:textId="77777777" w:rsidR="002033A5" w:rsidRPr="00E619C8" w:rsidRDefault="00E113EC">
      <w:pPr>
        <w:spacing w:after="160" w:line="300" w:lineRule="auto"/>
        <w:jc w:val="both"/>
        <w:rPr>
          <w:rFonts w:ascii="Arial" w:eastAsia="Arial" w:hAnsi="Arial" w:cs="Arial"/>
          <w:sz w:val="20"/>
          <w:szCs w:val="20"/>
        </w:rPr>
      </w:pPr>
      <w:r w:rsidRPr="00E619C8">
        <w:br w:type="page"/>
      </w:r>
    </w:p>
    <w:p w14:paraId="2A3485AF"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sz w:val="20"/>
          <w:szCs w:val="20"/>
        </w:rPr>
        <w:t>Position 16: Sekretariat Dewan Perwakilan Rakyat Daerah</w:t>
      </w:r>
    </w:p>
    <w:p w14:paraId="3BF94DA3"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noProof/>
          <w:sz w:val="20"/>
          <w:szCs w:val="20"/>
        </w:rPr>
        <w:drawing>
          <wp:inline distT="114300" distB="114300" distL="114300" distR="114300" wp14:anchorId="1CBAA997" wp14:editId="4008CFF6">
            <wp:extent cx="5731200" cy="4318000"/>
            <wp:effectExtent l="0" t="0" r="0" b="0"/>
            <wp:docPr id="1857035735"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53"/>
                    <a:srcRect/>
                    <a:stretch>
                      <a:fillRect/>
                    </a:stretch>
                  </pic:blipFill>
                  <pic:spPr>
                    <a:xfrm>
                      <a:off x="0" y="0"/>
                      <a:ext cx="5731200" cy="4318000"/>
                    </a:xfrm>
                    <a:prstGeom prst="rect">
                      <a:avLst/>
                    </a:prstGeom>
                    <a:ln/>
                  </pic:spPr>
                </pic:pic>
              </a:graphicData>
            </a:graphic>
          </wp:inline>
        </w:drawing>
      </w:r>
    </w:p>
    <w:p w14:paraId="66242F7E" w14:textId="77777777" w:rsidR="002033A5" w:rsidRPr="00E619C8" w:rsidRDefault="00E113EC">
      <w:pPr>
        <w:spacing w:after="160" w:line="300" w:lineRule="auto"/>
        <w:jc w:val="both"/>
        <w:rPr>
          <w:rFonts w:ascii="Arial" w:eastAsia="Arial" w:hAnsi="Arial" w:cs="Arial"/>
          <w:sz w:val="20"/>
          <w:szCs w:val="20"/>
        </w:rPr>
      </w:pPr>
      <w:r w:rsidRPr="00E619C8">
        <w:br w:type="page"/>
      </w:r>
    </w:p>
    <w:p w14:paraId="153EE757"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sz w:val="20"/>
          <w:szCs w:val="20"/>
        </w:rPr>
        <w:t>Position 17: RSUD NTB</w:t>
      </w:r>
    </w:p>
    <w:p w14:paraId="293DC408"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noProof/>
          <w:sz w:val="20"/>
          <w:szCs w:val="20"/>
        </w:rPr>
        <w:drawing>
          <wp:inline distT="114300" distB="114300" distL="114300" distR="114300" wp14:anchorId="2D1EDC7F" wp14:editId="13FDBC98">
            <wp:extent cx="5731200" cy="4318000"/>
            <wp:effectExtent l="0" t="0" r="0" b="0"/>
            <wp:docPr id="1857035755" name="image31.png"/>
            <wp:cNvGraphicFramePr/>
            <a:graphic xmlns:a="http://schemas.openxmlformats.org/drawingml/2006/main">
              <a:graphicData uri="http://schemas.openxmlformats.org/drawingml/2006/picture">
                <pic:pic xmlns:pic="http://schemas.openxmlformats.org/drawingml/2006/picture">
                  <pic:nvPicPr>
                    <pic:cNvPr id="0" name="image31.png"/>
                    <pic:cNvPicPr preferRelativeResize="0"/>
                  </pic:nvPicPr>
                  <pic:blipFill>
                    <a:blip r:embed="rId54"/>
                    <a:srcRect/>
                    <a:stretch>
                      <a:fillRect/>
                    </a:stretch>
                  </pic:blipFill>
                  <pic:spPr>
                    <a:xfrm>
                      <a:off x="0" y="0"/>
                      <a:ext cx="5731200" cy="4318000"/>
                    </a:xfrm>
                    <a:prstGeom prst="rect">
                      <a:avLst/>
                    </a:prstGeom>
                    <a:ln/>
                  </pic:spPr>
                </pic:pic>
              </a:graphicData>
            </a:graphic>
          </wp:inline>
        </w:drawing>
      </w:r>
    </w:p>
    <w:p w14:paraId="41962F10" w14:textId="77777777" w:rsidR="002033A5" w:rsidRPr="00E619C8" w:rsidRDefault="00E113EC">
      <w:pPr>
        <w:spacing w:after="160" w:line="300" w:lineRule="auto"/>
        <w:jc w:val="both"/>
        <w:rPr>
          <w:rFonts w:ascii="Arial" w:eastAsia="Arial" w:hAnsi="Arial" w:cs="Arial"/>
          <w:sz w:val="20"/>
          <w:szCs w:val="20"/>
        </w:rPr>
      </w:pPr>
      <w:r w:rsidRPr="00E619C8">
        <w:br w:type="page"/>
      </w:r>
    </w:p>
    <w:p w14:paraId="39984F95"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sz w:val="20"/>
          <w:szCs w:val="20"/>
        </w:rPr>
        <w:t>Position 18: Dinas Perpustakaan dan Kearsipan</w:t>
      </w:r>
    </w:p>
    <w:p w14:paraId="2331C7A5"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noProof/>
          <w:sz w:val="20"/>
          <w:szCs w:val="20"/>
        </w:rPr>
        <w:drawing>
          <wp:inline distT="114300" distB="114300" distL="114300" distR="114300" wp14:anchorId="0838DF80" wp14:editId="08E2E188">
            <wp:extent cx="5731200" cy="4318000"/>
            <wp:effectExtent l="0" t="0" r="0" b="0"/>
            <wp:docPr id="1857035736" name="image6.png"/>
            <wp:cNvGraphicFramePr/>
            <a:graphic xmlns:a="http://schemas.openxmlformats.org/drawingml/2006/main">
              <a:graphicData uri="http://schemas.openxmlformats.org/drawingml/2006/picture">
                <pic:pic xmlns:pic="http://schemas.openxmlformats.org/drawingml/2006/picture">
                  <pic:nvPicPr>
                    <pic:cNvPr id="0" name="image6.png"/>
                    <pic:cNvPicPr preferRelativeResize="0"/>
                  </pic:nvPicPr>
                  <pic:blipFill>
                    <a:blip r:embed="rId55"/>
                    <a:srcRect/>
                    <a:stretch>
                      <a:fillRect/>
                    </a:stretch>
                  </pic:blipFill>
                  <pic:spPr>
                    <a:xfrm>
                      <a:off x="0" y="0"/>
                      <a:ext cx="5731200" cy="4318000"/>
                    </a:xfrm>
                    <a:prstGeom prst="rect">
                      <a:avLst/>
                    </a:prstGeom>
                    <a:ln/>
                  </pic:spPr>
                </pic:pic>
              </a:graphicData>
            </a:graphic>
          </wp:inline>
        </w:drawing>
      </w:r>
    </w:p>
    <w:p w14:paraId="47C4C77A" w14:textId="77777777" w:rsidR="002033A5" w:rsidRPr="00E619C8" w:rsidRDefault="00E113EC">
      <w:pPr>
        <w:spacing w:after="160" w:line="300" w:lineRule="auto"/>
        <w:jc w:val="both"/>
        <w:rPr>
          <w:rFonts w:ascii="Arial" w:eastAsia="Arial" w:hAnsi="Arial" w:cs="Arial"/>
          <w:sz w:val="20"/>
          <w:szCs w:val="20"/>
        </w:rPr>
      </w:pPr>
      <w:r w:rsidRPr="00E619C8">
        <w:br w:type="page"/>
      </w:r>
    </w:p>
    <w:p w14:paraId="6325788C" w14:textId="77777777" w:rsidR="002033A5" w:rsidRPr="00E619C8" w:rsidRDefault="00E113EC">
      <w:pPr>
        <w:spacing w:after="160" w:line="300" w:lineRule="auto"/>
        <w:jc w:val="both"/>
        <w:rPr>
          <w:rFonts w:ascii="Arial" w:eastAsia="Arial" w:hAnsi="Arial" w:cs="Arial"/>
          <w:sz w:val="20"/>
          <w:szCs w:val="20"/>
        </w:rPr>
      </w:pPr>
      <w:r w:rsidRPr="00E619C8">
        <w:rPr>
          <w:rFonts w:ascii="Arial" w:eastAsia="Arial" w:hAnsi="Arial" w:cs="Arial"/>
          <w:sz w:val="20"/>
          <w:szCs w:val="20"/>
        </w:rPr>
        <w:t>Position 19: Dinas Pekerjaan Umum dan Penataan Ruang (Bidang Cipta Karya)</w:t>
      </w:r>
    </w:p>
    <w:p w14:paraId="2F8E7BE9" w14:textId="77777777" w:rsidR="002033A5" w:rsidRPr="00B21013" w:rsidRDefault="00E113EC">
      <w:pPr>
        <w:spacing w:after="160" w:line="300" w:lineRule="auto"/>
        <w:jc w:val="both"/>
        <w:rPr>
          <w:rFonts w:ascii="Arial" w:eastAsia="Arial" w:hAnsi="Arial" w:cs="Arial"/>
          <w:sz w:val="20"/>
          <w:szCs w:val="20"/>
        </w:rPr>
      </w:pPr>
      <w:r w:rsidRPr="00E619C8">
        <w:rPr>
          <w:rFonts w:ascii="Arial" w:eastAsia="Arial" w:hAnsi="Arial" w:cs="Arial"/>
          <w:noProof/>
          <w:sz w:val="20"/>
          <w:szCs w:val="20"/>
        </w:rPr>
        <w:drawing>
          <wp:inline distT="114300" distB="114300" distL="114300" distR="114300" wp14:anchorId="02F2E272" wp14:editId="3AE5E031">
            <wp:extent cx="5731200" cy="4318000"/>
            <wp:effectExtent l="0" t="0" r="0" b="0"/>
            <wp:docPr id="1857035770" name="image35.png"/>
            <wp:cNvGraphicFramePr/>
            <a:graphic xmlns:a="http://schemas.openxmlformats.org/drawingml/2006/main">
              <a:graphicData uri="http://schemas.openxmlformats.org/drawingml/2006/picture">
                <pic:pic xmlns:pic="http://schemas.openxmlformats.org/drawingml/2006/picture">
                  <pic:nvPicPr>
                    <pic:cNvPr id="0" name="image35.png"/>
                    <pic:cNvPicPr preferRelativeResize="0"/>
                  </pic:nvPicPr>
                  <pic:blipFill>
                    <a:blip r:embed="rId56"/>
                    <a:srcRect/>
                    <a:stretch>
                      <a:fillRect/>
                    </a:stretch>
                  </pic:blipFill>
                  <pic:spPr>
                    <a:xfrm>
                      <a:off x="0" y="0"/>
                      <a:ext cx="5731200" cy="4318000"/>
                    </a:xfrm>
                    <a:prstGeom prst="rect">
                      <a:avLst/>
                    </a:prstGeom>
                    <a:ln/>
                  </pic:spPr>
                </pic:pic>
              </a:graphicData>
            </a:graphic>
          </wp:inline>
        </w:drawing>
      </w:r>
    </w:p>
    <w:sectPr w:rsidR="002033A5" w:rsidRPr="00B21013" w:rsidSect="002C7F6B">
      <w:headerReference w:type="default" r:id="rId57"/>
      <w:footerReference w:type="default" r:id="rId58"/>
      <w:footerReference w:type="first" r:id="rId59"/>
      <w:pgSz w:w="11906" w:h="16838"/>
      <w:pgMar w:top="1678" w:right="1440" w:bottom="1755" w:left="1440" w:header="870" w:footer="567" w:gutter="0"/>
      <w:pgNumType w:start="1"/>
      <w:cols w:space="720"/>
      <w:titlePg/>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6326BA5" w14:textId="77777777" w:rsidR="001B2106" w:rsidRPr="00E619C8" w:rsidRDefault="001B2106">
      <w:r w:rsidRPr="00E619C8">
        <w:separator/>
      </w:r>
    </w:p>
  </w:endnote>
  <w:endnote w:type="continuationSeparator" w:id="0">
    <w:p w14:paraId="24CE3023" w14:textId="77777777" w:rsidR="001B2106" w:rsidRPr="00E619C8" w:rsidRDefault="001B2106">
      <w:r w:rsidRPr="00E619C8">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embedRegular r:id="rId1" w:fontKey="{2CAF18BE-A980-4151-8C67-EDEC5DD5BBD9}"/>
    <w:embedBold r:id="rId2" w:fontKey="{2A35B219-4888-4E42-8C4A-E43960D41D99}"/>
  </w:font>
  <w:font w:name="Calibri Light">
    <w:panose1 w:val="020F0302020204030204"/>
    <w:charset w:val="00"/>
    <w:family w:val="swiss"/>
    <w:pitch w:val="variable"/>
    <w:sig w:usb0="E4002EFF" w:usb1="C200247B" w:usb2="00000009" w:usb3="00000000" w:csb0="000001FF" w:csb1="00000000"/>
    <w:embedRegular r:id="rId3" w:fontKey="{73E8F4D2-6868-4D09-B59A-E9F2105E1F29}"/>
  </w:font>
  <w:font w:name="Angsana New">
    <w:panose1 w:val="02020603050405020304"/>
    <w:charset w:val="DE"/>
    <w:family w:val="roman"/>
    <w:pitch w:val="variable"/>
    <w:sig w:usb0="81000003" w:usb1="00000000" w:usb2="00000000" w:usb3="00000000" w:csb0="00010001" w:csb1="00000000"/>
    <w:embedRegular r:id="rId4" w:fontKey="{467CE21C-6658-4A62-B2D9-0081700C02F4}"/>
  </w:font>
  <w:font w:name="Segoe UI">
    <w:panose1 w:val="020B0502040204020203"/>
    <w:charset w:val="00"/>
    <w:family w:val="swiss"/>
    <w:pitch w:val="variable"/>
    <w:sig w:usb0="E4002EFF" w:usb1="C000E47F" w:usb2="00000009" w:usb3="00000000" w:csb0="000001FF" w:csb1="00000000"/>
    <w:embedRegular r:id="rId5" w:fontKey="{BA887A03-0924-4647-B125-BCE7CAB991E6}"/>
  </w:font>
  <w:font w:name="Times">
    <w:panose1 w:val="02020603050405020304"/>
    <w:charset w:val="00"/>
    <w:family w:val="roman"/>
    <w:pitch w:val="variable"/>
    <w:sig w:usb0="E0002EFF" w:usb1="C000785B" w:usb2="00000009" w:usb3="00000000" w:csb0="000001FF" w:csb1="00000000"/>
    <w:embedRegular r:id="rId6" w:fontKey="{56AC2AEB-FE0B-4AC5-B987-8496358C0BD4}"/>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embedRegular r:id="rId7" w:fontKey="{7A37AABD-0D03-4F15-B802-527104232496}"/>
  </w:font>
  <w:font w:name="Georgia">
    <w:panose1 w:val="02040502050405020303"/>
    <w:charset w:val="00"/>
    <w:family w:val="roman"/>
    <w:pitch w:val="variable"/>
    <w:sig w:usb0="00000287" w:usb1="00000000" w:usb2="00000000" w:usb3="00000000" w:csb0="0000009F" w:csb1="00000000"/>
    <w:embedItalic r:id="rId8" w:fontKey="{3BE8A85F-3340-4A68-8619-EA0EC24CCEB4}"/>
  </w:font>
  <w:font w:name="Cordia New">
    <w:panose1 w:val="020B0304020202020204"/>
    <w:charset w:val="DE"/>
    <w:family w:val="swiss"/>
    <w:pitch w:val="variable"/>
    <w:sig w:usb0="81000003" w:usb1="00000000" w:usb2="00000000" w:usb3="00000000" w:csb0="00010001" w:csb1="00000000"/>
    <w:embedRegular r:id="rId9" w:fontKey="{1E537191-EF8C-415E-90D4-1A67896C8290}"/>
  </w:font>
  <w:font w:name="Monda">
    <w:altName w:val="Calibri"/>
    <w:charset w:val="00"/>
    <w:family w:val="auto"/>
    <w:pitch w:val="default"/>
  </w:font>
  <w:font w:name="Arial Unicode MS">
    <w:panose1 w:val="020B0604020202020204"/>
    <w:charset w:val="00"/>
    <w:family w:val="roman"/>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95AF380" w14:textId="77777777" w:rsidR="002033A5" w:rsidRPr="00E619C8" w:rsidRDefault="00E113EC">
    <w:pPr>
      <w:pBdr>
        <w:top w:val="nil"/>
        <w:left w:val="nil"/>
        <w:bottom w:val="nil"/>
        <w:right w:val="nil"/>
        <w:between w:val="nil"/>
      </w:pBdr>
      <w:tabs>
        <w:tab w:val="center" w:pos="4513"/>
        <w:tab w:val="right" w:pos="9026"/>
      </w:tabs>
      <w:jc w:val="right"/>
      <w:rPr>
        <w:rFonts w:ascii="Arial" w:eastAsia="Arial" w:hAnsi="Arial" w:cs="Arial"/>
        <w:color w:val="000000"/>
        <w:sz w:val="20"/>
        <w:szCs w:val="20"/>
      </w:rPr>
    </w:pPr>
    <w:r w:rsidRPr="00E619C8">
      <w:rPr>
        <w:rFonts w:ascii="Arial" w:eastAsia="Arial" w:hAnsi="Arial" w:cs="Arial"/>
        <w:color w:val="000000"/>
        <w:sz w:val="20"/>
        <w:szCs w:val="20"/>
      </w:rPr>
      <w:fldChar w:fldCharType="begin"/>
    </w:r>
    <w:r w:rsidRPr="00E619C8">
      <w:rPr>
        <w:rFonts w:ascii="Arial" w:eastAsia="Arial" w:hAnsi="Arial" w:cs="Arial"/>
        <w:color w:val="000000"/>
        <w:sz w:val="20"/>
        <w:szCs w:val="20"/>
      </w:rPr>
      <w:instrText>PAGE</w:instrText>
    </w:r>
    <w:r w:rsidRPr="00E619C8">
      <w:rPr>
        <w:rFonts w:ascii="Arial" w:eastAsia="Arial" w:hAnsi="Arial" w:cs="Arial"/>
        <w:color w:val="000000"/>
        <w:sz w:val="20"/>
        <w:szCs w:val="20"/>
      </w:rPr>
      <w:fldChar w:fldCharType="separate"/>
    </w:r>
    <w:r w:rsidR="00A37662" w:rsidRPr="00E619C8">
      <w:rPr>
        <w:rFonts w:ascii="Arial" w:eastAsia="Arial" w:hAnsi="Arial" w:cs="Arial"/>
        <w:color w:val="000000"/>
        <w:sz w:val="20"/>
        <w:szCs w:val="20"/>
      </w:rPr>
      <w:t>2</w:t>
    </w:r>
    <w:r w:rsidRPr="00E619C8">
      <w:rPr>
        <w:rFonts w:ascii="Arial" w:eastAsia="Arial" w:hAnsi="Arial" w:cs="Arial"/>
        <w:color w:val="000000"/>
        <w:sz w:val="20"/>
        <w:szCs w:val="20"/>
      </w:rPr>
      <w:fldChar w:fldCharType="end"/>
    </w:r>
    <w:r w:rsidRPr="00E619C8">
      <w:rPr>
        <w:noProof/>
      </w:rPr>
      <w:drawing>
        <wp:anchor distT="0" distB="0" distL="0" distR="0" simplePos="0" relativeHeight="251658240" behindDoc="0" locked="0" layoutInCell="1" hidden="0" allowOverlap="1" wp14:anchorId="4C377E15" wp14:editId="07ECCDCA">
          <wp:simplePos x="0" y="0"/>
          <wp:positionH relativeFrom="column">
            <wp:posOffset>-38095</wp:posOffset>
          </wp:positionH>
          <wp:positionV relativeFrom="paragraph">
            <wp:posOffset>-242883</wp:posOffset>
          </wp:positionV>
          <wp:extent cx="5815013" cy="190500"/>
          <wp:effectExtent l="0" t="0" r="0" b="0"/>
          <wp:wrapSquare wrapText="bothSides" distT="0" distB="0" distL="0" distR="0"/>
          <wp:docPr id="1857035768" name="image30.png"/>
          <wp:cNvGraphicFramePr/>
          <a:graphic xmlns:a="http://schemas.openxmlformats.org/drawingml/2006/main">
            <a:graphicData uri="http://schemas.openxmlformats.org/drawingml/2006/picture">
              <pic:pic xmlns:pic="http://schemas.openxmlformats.org/drawingml/2006/picture">
                <pic:nvPicPr>
                  <pic:cNvPr id="0" name="image30.png"/>
                  <pic:cNvPicPr preferRelativeResize="0"/>
                </pic:nvPicPr>
                <pic:blipFill>
                  <a:blip r:embed="rId1"/>
                  <a:srcRect l="12326" r="12567"/>
                  <a:stretch>
                    <a:fillRect/>
                  </a:stretch>
                </pic:blipFill>
                <pic:spPr>
                  <a:xfrm>
                    <a:off x="0" y="0"/>
                    <a:ext cx="5815013" cy="190500"/>
                  </a:xfrm>
                  <a:prstGeom prst="rect">
                    <a:avLst/>
                  </a:prstGeom>
                  <a:ln/>
                </pic:spPr>
              </pic:pic>
            </a:graphicData>
          </a:graphic>
        </wp:anchor>
      </w:drawing>
    </w:r>
  </w:p>
  <w:p w14:paraId="113C54AA" w14:textId="77777777" w:rsidR="002033A5" w:rsidRPr="00E619C8" w:rsidRDefault="002033A5">
    <w:pPr>
      <w:widowControl w:val="0"/>
      <w:pBdr>
        <w:top w:val="nil"/>
        <w:left w:val="nil"/>
        <w:bottom w:val="nil"/>
        <w:right w:val="nil"/>
        <w:between w:val="nil"/>
      </w:pBdr>
      <w:spacing w:line="276" w:lineRule="auto"/>
      <w:rPr>
        <w:rFonts w:ascii="Arial" w:eastAsia="Arial" w:hAnsi="Arial" w:cs="Arial"/>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F32716B" w14:textId="77777777" w:rsidR="002033A5" w:rsidRPr="00E619C8" w:rsidRDefault="00E113EC">
    <w:pPr>
      <w:pBdr>
        <w:top w:val="nil"/>
        <w:left w:val="nil"/>
        <w:bottom w:val="nil"/>
        <w:right w:val="nil"/>
        <w:between w:val="nil"/>
      </w:pBdr>
      <w:tabs>
        <w:tab w:val="center" w:pos="4513"/>
        <w:tab w:val="right" w:pos="9026"/>
      </w:tabs>
      <w:rPr>
        <w:color w:val="000000"/>
      </w:rPr>
    </w:pPr>
    <w:r w:rsidRPr="00E619C8">
      <w:rPr>
        <w:noProof/>
      </w:rPr>
      <w:drawing>
        <wp:anchor distT="0" distB="0" distL="114300" distR="114300" simplePos="0" relativeHeight="251658241" behindDoc="0" locked="0" layoutInCell="1" hidden="0" allowOverlap="1" wp14:anchorId="229F6FEA" wp14:editId="599519F4">
          <wp:simplePos x="0" y="0"/>
          <wp:positionH relativeFrom="column">
            <wp:posOffset>1966912</wp:posOffset>
          </wp:positionH>
          <wp:positionV relativeFrom="paragraph">
            <wp:posOffset>-332697</wp:posOffset>
          </wp:positionV>
          <wp:extent cx="1843680" cy="455497"/>
          <wp:effectExtent l="0" t="0" r="0" b="0"/>
          <wp:wrapSquare wrapText="bothSides" distT="0" distB="0" distL="114300" distR="114300"/>
          <wp:docPr id="1857035764" name="image21.jpg" descr="C:\Users\Sean Henderson\AppData\Local\Microsoft\Windows\INetCache\Content.Word\CoST logo_arial bold adjacent JPEG.JPG"/>
          <wp:cNvGraphicFramePr/>
          <a:graphic xmlns:a="http://schemas.openxmlformats.org/drawingml/2006/main">
            <a:graphicData uri="http://schemas.openxmlformats.org/drawingml/2006/picture">
              <pic:pic xmlns:pic="http://schemas.openxmlformats.org/drawingml/2006/picture">
                <pic:nvPicPr>
                  <pic:cNvPr id="0" name="image21.jpg" descr="C:\Users\Sean Henderson\AppData\Local\Microsoft\Windows\INetCache\Content.Word\CoST logo_arial bold adjacent JPEG.JPG"/>
                  <pic:cNvPicPr preferRelativeResize="0"/>
                </pic:nvPicPr>
                <pic:blipFill>
                  <a:blip r:embed="rId1"/>
                  <a:srcRect/>
                  <a:stretch>
                    <a:fillRect/>
                  </a:stretch>
                </pic:blipFill>
                <pic:spPr>
                  <a:xfrm>
                    <a:off x="0" y="0"/>
                    <a:ext cx="1843680" cy="455497"/>
                  </a:xfrm>
                  <a:prstGeom prst="rect">
                    <a:avLst/>
                  </a:prstGeom>
                  <a:ln/>
                </pic:spPr>
              </pic:pic>
            </a:graphicData>
          </a:graphic>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A84C9AE" w14:textId="77777777" w:rsidR="001B2106" w:rsidRPr="00E619C8" w:rsidRDefault="001B2106">
      <w:r w:rsidRPr="00E619C8">
        <w:separator/>
      </w:r>
    </w:p>
  </w:footnote>
  <w:footnote w:type="continuationSeparator" w:id="0">
    <w:p w14:paraId="7E3ECE77" w14:textId="77777777" w:rsidR="001B2106" w:rsidRPr="00E619C8" w:rsidRDefault="001B2106">
      <w:r w:rsidRPr="00E619C8">
        <w:continuationSeparator/>
      </w:r>
    </w:p>
  </w:footnote>
  <w:footnote w:id="1">
    <w:p w14:paraId="48119D73" w14:textId="77777777" w:rsidR="002033A5" w:rsidRPr="00E619C8" w:rsidRDefault="00E113EC">
      <w:pPr>
        <w:jc w:val="both"/>
        <w:rPr>
          <w:rFonts w:ascii="Arial" w:eastAsia="Arial" w:hAnsi="Arial" w:cs="Arial"/>
          <w:sz w:val="16"/>
          <w:szCs w:val="16"/>
        </w:rPr>
      </w:pPr>
      <w:r w:rsidRPr="00E619C8">
        <w:rPr>
          <w:rStyle w:val="FootnoteReference"/>
        </w:rPr>
        <w:footnoteRef/>
      </w:r>
      <w:r w:rsidRPr="00E619C8">
        <w:rPr>
          <w:rFonts w:ascii="Arial" w:eastAsia="Arial" w:hAnsi="Arial" w:cs="Arial"/>
          <w:sz w:val="16"/>
          <w:szCs w:val="16"/>
        </w:rPr>
        <w:t xml:space="preserve"> The fact that the ITI is designed to be applied at either a national or sub-national level will not be repeated at every mention.</w:t>
      </w:r>
    </w:p>
  </w:footnote>
  <w:footnote w:id="2">
    <w:p w14:paraId="66D22F9F" w14:textId="77777777" w:rsidR="002033A5" w:rsidRPr="00E619C8" w:rsidRDefault="00E113EC">
      <w:pPr>
        <w:jc w:val="both"/>
        <w:rPr>
          <w:rFonts w:ascii="Arial" w:eastAsia="Arial" w:hAnsi="Arial" w:cs="Arial"/>
          <w:sz w:val="16"/>
          <w:szCs w:val="16"/>
        </w:rPr>
      </w:pPr>
      <w:r w:rsidRPr="00E619C8">
        <w:rPr>
          <w:rStyle w:val="FootnoteReference"/>
        </w:rPr>
        <w:footnoteRef/>
      </w:r>
      <w:r w:rsidRPr="00E619C8">
        <w:rPr>
          <w:rFonts w:ascii="Arial" w:eastAsia="Arial" w:hAnsi="Arial" w:cs="Arial"/>
          <w:sz w:val="16"/>
          <w:szCs w:val="16"/>
        </w:rPr>
        <w:t xml:space="preserve"> When used within the context of the term “information disclosure”, “information” may include a combination of raw data points and (more meaningful) processed information.</w:t>
      </w:r>
    </w:p>
  </w:footnote>
  <w:footnote w:id="3">
    <w:p w14:paraId="2879E7B7" w14:textId="77777777" w:rsidR="002033A5" w:rsidRPr="002C7F6B" w:rsidRDefault="00E113EC">
      <w:pPr>
        <w:jc w:val="both"/>
        <w:rPr>
          <w:rFonts w:ascii="Arial" w:eastAsia="Arial" w:hAnsi="Arial" w:cs="Arial"/>
          <w:sz w:val="16"/>
          <w:szCs w:val="16"/>
          <w:lang w:val="en-US"/>
        </w:rPr>
      </w:pPr>
      <w:r w:rsidRPr="00E619C8">
        <w:rPr>
          <w:rStyle w:val="FootnoteReference"/>
        </w:rPr>
        <w:footnoteRef/>
      </w:r>
      <w:r w:rsidRPr="00E619C8">
        <w:rPr>
          <w:rFonts w:ascii="Arial" w:eastAsia="Arial" w:hAnsi="Arial" w:cs="Arial"/>
          <w:sz w:val="16"/>
          <w:szCs w:val="16"/>
        </w:rPr>
        <w:t xml:space="preserve"> The ITI survey can also be completed by a small group of officers if the PE believes the required information is under different departments or units. </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AD611" w14:textId="77777777" w:rsidR="002033A5" w:rsidRPr="00E619C8" w:rsidRDefault="00E113EC">
    <w:pPr>
      <w:spacing w:line="276" w:lineRule="auto"/>
      <w:jc w:val="right"/>
      <w:rPr>
        <w:rFonts w:ascii="Arial" w:eastAsia="Arial" w:hAnsi="Arial" w:cs="Arial"/>
        <w:color w:val="C00000"/>
        <w:sz w:val="18"/>
        <w:szCs w:val="18"/>
      </w:rPr>
    </w:pPr>
    <w:r w:rsidRPr="00E619C8">
      <w:rPr>
        <w:rFonts w:ascii="Arial" w:eastAsia="Arial" w:hAnsi="Arial" w:cs="Arial"/>
        <w:color w:val="C00000"/>
        <w:sz w:val="18"/>
        <w:szCs w:val="18"/>
      </w:rPr>
      <w:t xml:space="preserve">Infrastructure Transparency Index </w:t>
    </w:r>
  </w:p>
  <w:p w14:paraId="405310D5" w14:textId="60CA21AD" w:rsidR="002033A5" w:rsidRPr="00E619C8" w:rsidRDefault="00E113EC">
    <w:pPr>
      <w:spacing w:line="276" w:lineRule="auto"/>
      <w:jc w:val="right"/>
      <w:rPr>
        <w:rFonts w:ascii="Arial" w:eastAsia="Arial" w:hAnsi="Arial" w:cs="Arial"/>
        <w:color w:val="C00000"/>
        <w:sz w:val="18"/>
        <w:szCs w:val="18"/>
      </w:rPr>
    </w:pPr>
    <w:r w:rsidRPr="00E619C8">
      <w:rPr>
        <w:rFonts w:ascii="Arial" w:eastAsia="Arial" w:hAnsi="Arial" w:cs="Arial"/>
        <w:color w:val="C00000"/>
        <w:sz w:val="18"/>
        <w:szCs w:val="18"/>
      </w:rPr>
      <w:t>202</w:t>
    </w:r>
    <w:r w:rsidR="000120A0" w:rsidRPr="00E619C8">
      <w:rPr>
        <w:rFonts w:ascii="Arial" w:eastAsia="Arial" w:hAnsi="Arial" w:cs="Arial"/>
        <w:color w:val="C00000"/>
        <w:sz w:val="18"/>
        <w:szCs w:val="18"/>
      </w:rPr>
      <w:t>6</w:t>
    </w:r>
    <w:r w:rsidRPr="00E619C8">
      <w:rPr>
        <w:rFonts w:ascii="Arial" w:eastAsia="Arial" w:hAnsi="Arial" w:cs="Arial"/>
        <w:i/>
        <w:iCs/>
        <w:color w:val="C00000"/>
        <w:sz w:val="18"/>
        <w:szCs w:val="18"/>
      </w:rPr>
      <w:t xml:space="preserve"> NTB - Indonesia</w:t>
    </w:r>
    <w:r w:rsidRPr="00E619C8">
      <w:rPr>
        <w:rFonts w:ascii="Arial" w:eastAsia="Arial" w:hAnsi="Arial" w:cs="Arial"/>
        <w:color w:val="C00000"/>
        <w:sz w:val="18"/>
        <w:szCs w:val="18"/>
      </w:rPr>
      <w:t xml:space="preserve"> Report</w:t>
    </w:r>
  </w:p>
  <w:p w14:paraId="4DB9A03B" w14:textId="76793E01" w:rsidR="002033A5" w:rsidRPr="00E619C8" w:rsidRDefault="000120A0">
    <w:pPr>
      <w:spacing w:line="276" w:lineRule="auto"/>
      <w:rPr>
        <w:rFonts w:ascii="Arial" w:eastAsia="Arial" w:hAnsi="Arial" w:cs="Arial"/>
        <w:sz w:val="22"/>
        <w:szCs w:val="22"/>
      </w:rPr>
    </w:pPr>
    <w:r w:rsidRPr="00E619C8">
      <w:rPr>
        <w:rFonts w:ascii="Arial" w:eastAsia="Arial" w:hAnsi="Arial" w:cs="Arial"/>
        <w:noProof/>
        <w:color w:val="C00000"/>
        <w:sz w:val="18"/>
        <w:szCs w:val="18"/>
      </w:rPr>
      <mc:AlternateContent>
        <mc:Choice Requires="wps">
          <w:drawing>
            <wp:anchor distT="0" distB="0" distL="114300" distR="114300" simplePos="0" relativeHeight="251658242" behindDoc="0" locked="0" layoutInCell="1" allowOverlap="1" wp14:anchorId="1FFBD06F" wp14:editId="21BFEF79">
              <wp:simplePos x="0" y="0"/>
              <wp:positionH relativeFrom="column">
                <wp:posOffset>4233</wp:posOffset>
              </wp:positionH>
              <wp:positionV relativeFrom="paragraph">
                <wp:posOffset>20955</wp:posOffset>
              </wp:positionV>
              <wp:extent cx="5760085" cy="62865"/>
              <wp:effectExtent l="0" t="0" r="18415" b="13335"/>
              <wp:wrapNone/>
              <wp:docPr id="308035864" name="Rectángulo 8"/>
              <wp:cNvGraphicFramePr/>
              <a:graphic xmlns:a="http://schemas.openxmlformats.org/drawingml/2006/main">
                <a:graphicData uri="http://schemas.microsoft.com/office/word/2010/wordprocessingShape">
                  <wps:wsp>
                    <wps:cNvSpPr/>
                    <wps:spPr>
                      <a:xfrm>
                        <a:off x="0" y="0"/>
                        <a:ext cx="5760085" cy="62865"/>
                      </a:xfrm>
                      <a:prstGeom prst="rect">
                        <a:avLst/>
                      </a:prstGeom>
                      <a:solidFill>
                        <a:srgbClr val="4D6E86"/>
                      </a:solidFill>
                      <a:ln>
                        <a:solidFill>
                          <a:srgbClr val="4D6E86"/>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45775E12" id="Rectángulo 8" o:spid="_x0000_s1026" style="position:absolute;margin-left:.35pt;margin-top:1.65pt;width:453.55pt;height:4.95pt;z-index:2516613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" fillcolor="#4d6e86" strokecolor="#4d6e86" strokeweight="1pt"/>
          </w:pict>
        </mc:Fallback>
      </mc:AlternateContent>
    </w:r>
  </w:p>
  <w:p w14:paraId="6544E401" w14:textId="77777777" w:rsidR="002033A5" w:rsidRPr="00E619C8" w:rsidRDefault="002033A5">
    <w:pPr>
      <w:pBdr>
        <w:top w:val="nil"/>
        <w:left w:val="nil"/>
        <w:bottom w:val="nil"/>
        <w:right w:val="nil"/>
        <w:between w:val="nil"/>
      </w:pBdr>
      <w:tabs>
        <w:tab w:val="center" w:pos="4513"/>
        <w:tab w:val="right" w:pos="9026"/>
      </w:tabs>
      <w:rPr>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F492C"/>
    <w:multiLevelType w:val="multilevel"/>
    <w:tmpl w:val="A07C20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55F46B8"/>
    <w:multiLevelType w:val="multilevel"/>
    <w:tmpl w:val="9DDEEDD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07671AFA"/>
    <w:multiLevelType w:val="multilevel"/>
    <w:tmpl w:val="2E92F0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093C7718"/>
    <w:multiLevelType w:val="multilevel"/>
    <w:tmpl w:val="47F29A4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B614C2F"/>
    <w:multiLevelType w:val="multilevel"/>
    <w:tmpl w:val="3BCA2278"/>
    <w:lvl w:ilvl="0">
      <w:start w:val="1"/>
      <w:numFmt w:val="decimal"/>
      <w:lvlText w:val="%1."/>
      <w:lvlJc w:val="left"/>
      <w:pPr>
        <w:ind w:left="720" w:hanging="360"/>
      </w:pPr>
      <w:rPr>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5" w15:restartNumberingAfterBreak="0">
    <w:nsid w:val="102B6DAF"/>
    <w:multiLevelType w:val="multilevel"/>
    <w:tmpl w:val="247AE9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10647A41"/>
    <w:multiLevelType w:val="multilevel"/>
    <w:tmpl w:val="D09A401A"/>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7" w15:restartNumberingAfterBreak="0">
    <w:nsid w:val="12852ECB"/>
    <w:multiLevelType w:val="multilevel"/>
    <w:tmpl w:val="E04081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8" w15:restartNumberingAfterBreak="0">
    <w:nsid w:val="12B54BF3"/>
    <w:multiLevelType w:val="multilevel"/>
    <w:tmpl w:val="CD2ED51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199519B9"/>
    <w:multiLevelType w:val="multilevel"/>
    <w:tmpl w:val="FE2EB85E"/>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26E3051D"/>
    <w:multiLevelType w:val="multilevel"/>
    <w:tmpl w:val="8DB290A0"/>
    <w:lvl w:ilvl="0">
      <w:start w:val="1"/>
      <w:numFmt w:val="lowerLetter"/>
      <w:lvlText w:val="%1."/>
      <w:lvlJc w:val="left"/>
      <w:pPr>
        <w:ind w:left="1440" w:hanging="360"/>
      </w:pPr>
      <w:rPr>
        <w:u w:val="none"/>
      </w:rPr>
    </w:lvl>
    <w:lvl w:ilvl="1">
      <w:start w:val="1"/>
      <w:numFmt w:val="lowerRoman"/>
      <w:lvlText w:val="%2."/>
      <w:lvlJc w:val="right"/>
      <w:pPr>
        <w:ind w:left="2160" w:hanging="360"/>
      </w:pPr>
      <w:rPr>
        <w:u w:val="none"/>
      </w:rPr>
    </w:lvl>
    <w:lvl w:ilvl="2">
      <w:start w:val="1"/>
      <w:numFmt w:val="decimal"/>
      <w:lvlText w:val="%3."/>
      <w:lvlJc w:val="left"/>
      <w:pPr>
        <w:ind w:left="2880" w:hanging="360"/>
      </w:pPr>
      <w:rPr>
        <w:u w:val="none"/>
      </w:rPr>
    </w:lvl>
    <w:lvl w:ilvl="3">
      <w:start w:val="1"/>
      <w:numFmt w:val="lowerLetter"/>
      <w:lvlText w:val="%4."/>
      <w:lvlJc w:val="left"/>
      <w:pPr>
        <w:ind w:left="3600" w:hanging="360"/>
      </w:pPr>
      <w:rPr>
        <w:u w:val="none"/>
      </w:rPr>
    </w:lvl>
    <w:lvl w:ilvl="4">
      <w:start w:val="1"/>
      <w:numFmt w:val="lowerRoman"/>
      <w:lvlText w:val="%5."/>
      <w:lvlJc w:val="right"/>
      <w:pPr>
        <w:ind w:left="4320" w:hanging="360"/>
      </w:pPr>
      <w:rPr>
        <w:u w:val="none"/>
      </w:rPr>
    </w:lvl>
    <w:lvl w:ilvl="5">
      <w:start w:val="1"/>
      <w:numFmt w:val="decimal"/>
      <w:lvlText w:val="%6."/>
      <w:lvlJc w:val="left"/>
      <w:pPr>
        <w:ind w:left="5040" w:hanging="360"/>
      </w:pPr>
      <w:rPr>
        <w:u w:val="none"/>
      </w:rPr>
    </w:lvl>
    <w:lvl w:ilvl="6">
      <w:start w:val="1"/>
      <w:numFmt w:val="lowerLetter"/>
      <w:lvlText w:val="%7."/>
      <w:lvlJc w:val="left"/>
      <w:pPr>
        <w:ind w:left="5760" w:hanging="360"/>
      </w:pPr>
      <w:rPr>
        <w:u w:val="none"/>
      </w:rPr>
    </w:lvl>
    <w:lvl w:ilvl="7">
      <w:start w:val="1"/>
      <w:numFmt w:val="lowerRoman"/>
      <w:lvlText w:val="%8."/>
      <w:lvlJc w:val="right"/>
      <w:pPr>
        <w:ind w:left="6480" w:hanging="360"/>
      </w:pPr>
      <w:rPr>
        <w:u w:val="none"/>
      </w:rPr>
    </w:lvl>
    <w:lvl w:ilvl="8">
      <w:start w:val="1"/>
      <w:numFmt w:val="decimal"/>
      <w:lvlText w:val="%9."/>
      <w:lvlJc w:val="left"/>
      <w:pPr>
        <w:ind w:left="7200" w:hanging="360"/>
      </w:pPr>
      <w:rPr>
        <w:u w:val="none"/>
      </w:rPr>
    </w:lvl>
  </w:abstractNum>
  <w:abstractNum w:abstractNumId="11" w15:restartNumberingAfterBreak="0">
    <w:nsid w:val="2AAC3566"/>
    <w:multiLevelType w:val="multilevel"/>
    <w:tmpl w:val="8A9E43D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2" w15:restartNumberingAfterBreak="0">
    <w:nsid w:val="2CB9731C"/>
    <w:multiLevelType w:val="multilevel"/>
    <w:tmpl w:val="8CAC1DD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3" w15:restartNumberingAfterBreak="0">
    <w:nsid w:val="35901A62"/>
    <w:multiLevelType w:val="multilevel"/>
    <w:tmpl w:val="C2FE23F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4" w15:restartNumberingAfterBreak="0">
    <w:nsid w:val="3A614A3B"/>
    <w:multiLevelType w:val="multilevel"/>
    <w:tmpl w:val="DB9EE6E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3D954408"/>
    <w:multiLevelType w:val="multilevel"/>
    <w:tmpl w:val="671ADB8C"/>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16" w15:restartNumberingAfterBreak="0">
    <w:nsid w:val="401A635A"/>
    <w:multiLevelType w:val="multilevel"/>
    <w:tmpl w:val="9092BAF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43D46701"/>
    <w:multiLevelType w:val="hybridMultilevel"/>
    <w:tmpl w:val="CA36F49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47A37CEB"/>
    <w:multiLevelType w:val="multilevel"/>
    <w:tmpl w:val="243C77C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19" w15:restartNumberingAfterBreak="0">
    <w:nsid w:val="49087261"/>
    <w:multiLevelType w:val="multilevel"/>
    <w:tmpl w:val="7B9234F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0" w15:restartNumberingAfterBreak="0">
    <w:nsid w:val="49BC06F2"/>
    <w:multiLevelType w:val="hybridMultilevel"/>
    <w:tmpl w:val="0B9836F4"/>
    <w:lvl w:ilvl="0" w:tplc="0409000F">
      <w:start w:val="1"/>
      <w:numFmt w:val="decimal"/>
      <w:lvlText w:val="%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4C6169E3"/>
    <w:multiLevelType w:val="multilevel"/>
    <w:tmpl w:val="F364D7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2" w15:restartNumberingAfterBreak="0">
    <w:nsid w:val="4E460FEE"/>
    <w:multiLevelType w:val="multilevel"/>
    <w:tmpl w:val="7AA6A792"/>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3" w15:restartNumberingAfterBreak="0">
    <w:nsid w:val="51F149A7"/>
    <w:multiLevelType w:val="multilevel"/>
    <w:tmpl w:val="8268592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4" w15:restartNumberingAfterBreak="0">
    <w:nsid w:val="55ED2CF2"/>
    <w:multiLevelType w:val="multilevel"/>
    <w:tmpl w:val="15582400"/>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5" w15:restartNumberingAfterBreak="0">
    <w:nsid w:val="56BD5BAC"/>
    <w:multiLevelType w:val="multilevel"/>
    <w:tmpl w:val="27BA8404"/>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26" w15:restartNumberingAfterBreak="0">
    <w:nsid w:val="59DF1079"/>
    <w:multiLevelType w:val="multilevel"/>
    <w:tmpl w:val="480C7A8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7" w15:restartNumberingAfterBreak="0">
    <w:nsid w:val="5C5C6D2F"/>
    <w:multiLevelType w:val="multilevel"/>
    <w:tmpl w:val="E534C06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637017D2"/>
    <w:multiLevelType w:val="multilevel"/>
    <w:tmpl w:val="32C6520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29" w15:restartNumberingAfterBreak="0">
    <w:nsid w:val="659312B3"/>
    <w:multiLevelType w:val="multilevel"/>
    <w:tmpl w:val="2A08EBE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0" w15:restartNumberingAfterBreak="0">
    <w:nsid w:val="72B1453B"/>
    <w:multiLevelType w:val="multilevel"/>
    <w:tmpl w:val="61E4C696"/>
    <w:lvl w:ilvl="0">
      <w:start w:val="1"/>
      <w:numFmt w:val="decimal"/>
      <w:lvlText w:val="%1."/>
      <w:lvlJc w:val="left"/>
      <w:pPr>
        <w:ind w:left="720" w:hanging="360"/>
      </w:pPr>
      <w:rPr>
        <w:b/>
        <w:bCs/>
        <w:sz w:val="22"/>
        <w:szCs w:val="22"/>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31" w15:restartNumberingAfterBreak="0">
    <w:nsid w:val="7546536E"/>
    <w:multiLevelType w:val="multilevel"/>
    <w:tmpl w:val="B4F48FBE"/>
    <w:lvl w:ilvl="0">
      <w:start w:val="1"/>
      <w:numFmt w:val="lowerLetter"/>
      <w:lvlText w:val="%1."/>
      <w:lvlJc w:val="left"/>
      <w:pPr>
        <w:ind w:left="720" w:hanging="360"/>
      </w:pPr>
      <w:rPr>
        <w:u w:val="none"/>
      </w:rPr>
    </w:lvl>
    <w:lvl w:ilvl="1">
      <w:start w:val="1"/>
      <w:numFmt w:val="lowerRoman"/>
      <w:lvlText w:val="%2."/>
      <w:lvlJc w:val="right"/>
      <w:pPr>
        <w:ind w:left="1440" w:hanging="360"/>
      </w:pPr>
      <w:rPr>
        <w:u w:val="none"/>
      </w:rPr>
    </w:lvl>
    <w:lvl w:ilvl="2">
      <w:start w:val="1"/>
      <w:numFmt w:val="decimal"/>
      <w:lvlText w:val="%3."/>
      <w:lvlJc w:val="left"/>
      <w:pPr>
        <w:ind w:left="2160" w:hanging="360"/>
      </w:pPr>
      <w:rPr>
        <w:u w:val="none"/>
      </w:rPr>
    </w:lvl>
    <w:lvl w:ilvl="3">
      <w:start w:val="1"/>
      <w:numFmt w:val="lowerLetter"/>
      <w:lvlText w:val="%4."/>
      <w:lvlJc w:val="left"/>
      <w:pPr>
        <w:ind w:left="2880" w:hanging="360"/>
      </w:pPr>
      <w:rPr>
        <w:u w:val="none"/>
      </w:rPr>
    </w:lvl>
    <w:lvl w:ilvl="4">
      <w:start w:val="1"/>
      <w:numFmt w:val="lowerRoman"/>
      <w:lvlText w:val="%5."/>
      <w:lvlJc w:val="right"/>
      <w:pPr>
        <w:ind w:left="3600" w:hanging="360"/>
      </w:pPr>
      <w:rPr>
        <w:u w:val="none"/>
      </w:rPr>
    </w:lvl>
    <w:lvl w:ilvl="5">
      <w:start w:val="1"/>
      <w:numFmt w:val="decimal"/>
      <w:lvlText w:val="%6."/>
      <w:lvlJc w:val="left"/>
      <w:pPr>
        <w:ind w:left="4320" w:hanging="360"/>
      </w:pPr>
      <w:rPr>
        <w:u w:val="none"/>
      </w:rPr>
    </w:lvl>
    <w:lvl w:ilvl="6">
      <w:start w:val="1"/>
      <w:numFmt w:val="lowerLetter"/>
      <w:lvlText w:val="%7."/>
      <w:lvlJc w:val="left"/>
      <w:pPr>
        <w:ind w:left="5040" w:hanging="360"/>
      </w:pPr>
      <w:rPr>
        <w:u w:val="none"/>
      </w:rPr>
    </w:lvl>
    <w:lvl w:ilvl="7">
      <w:start w:val="1"/>
      <w:numFmt w:val="lowerRoman"/>
      <w:lvlText w:val="%8."/>
      <w:lvlJc w:val="right"/>
      <w:pPr>
        <w:ind w:left="5760" w:hanging="360"/>
      </w:pPr>
      <w:rPr>
        <w:u w:val="none"/>
      </w:rPr>
    </w:lvl>
    <w:lvl w:ilvl="8">
      <w:start w:val="1"/>
      <w:numFmt w:val="decimal"/>
      <w:lvlText w:val="%9."/>
      <w:lvlJc w:val="left"/>
      <w:pPr>
        <w:ind w:left="6480" w:hanging="360"/>
      </w:pPr>
      <w:rPr>
        <w:u w:val="none"/>
      </w:rPr>
    </w:lvl>
  </w:abstractNum>
  <w:abstractNum w:abstractNumId="32" w15:restartNumberingAfterBreak="0">
    <w:nsid w:val="7C8A0A70"/>
    <w:multiLevelType w:val="multilevel"/>
    <w:tmpl w:val="4392AFE4"/>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lef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lef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left"/>
      <w:pPr>
        <w:ind w:left="6480" w:hanging="360"/>
      </w:pPr>
      <w:rPr>
        <w:u w:val="none"/>
      </w:rPr>
    </w:lvl>
  </w:abstractNum>
  <w:abstractNum w:abstractNumId="33" w15:restartNumberingAfterBreak="0">
    <w:nsid w:val="7E8626B9"/>
    <w:multiLevelType w:val="multilevel"/>
    <w:tmpl w:val="847E44B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num w:numId="1" w16cid:durableId="1729188156">
    <w:abstractNumId w:val="8"/>
  </w:num>
  <w:num w:numId="2" w16cid:durableId="597906855">
    <w:abstractNumId w:val="23"/>
  </w:num>
  <w:num w:numId="3" w16cid:durableId="623461348">
    <w:abstractNumId w:val="22"/>
  </w:num>
  <w:num w:numId="4" w16cid:durableId="1480732362">
    <w:abstractNumId w:val="9"/>
  </w:num>
  <w:num w:numId="5" w16cid:durableId="2002191864">
    <w:abstractNumId w:val="11"/>
  </w:num>
  <w:num w:numId="6" w16cid:durableId="1322654818">
    <w:abstractNumId w:val="10"/>
  </w:num>
  <w:num w:numId="7" w16cid:durableId="283970562">
    <w:abstractNumId w:val="33"/>
  </w:num>
  <w:num w:numId="8" w16cid:durableId="1749500260">
    <w:abstractNumId w:val="18"/>
  </w:num>
  <w:num w:numId="9" w16cid:durableId="1186481310">
    <w:abstractNumId w:val="31"/>
  </w:num>
  <w:num w:numId="10" w16cid:durableId="1937639157">
    <w:abstractNumId w:val="4"/>
  </w:num>
  <w:num w:numId="11" w16cid:durableId="1242182351">
    <w:abstractNumId w:val="6"/>
  </w:num>
  <w:num w:numId="12" w16cid:durableId="2062633029">
    <w:abstractNumId w:val="15"/>
  </w:num>
  <w:num w:numId="13" w16cid:durableId="1880052050">
    <w:abstractNumId w:val="32"/>
  </w:num>
  <w:num w:numId="14" w16cid:durableId="937561296">
    <w:abstractNumId w:val="28"/>
  </w:num>
  <w:num w:numId="15" w16cid:durableId="1045064491">
    <w:abstractNumId w:val="13"/>
  </w:num>
  <w:num w:numId="16" w16cid:durableId="1791589786">
    <w:abstractNumId w:val="16"/>
  </w:num>
  <w:num w:numId="17" w16cid:durableId="384063463">
    <w:abstractNumId w:val="2"/>
  </w:num>
  <w:num w:numId="18" w16cid:durableId="1853756404">
    <w:abstractNumId w:val="5"/>
  </w:num>
  <w:num w:numId="19" w16cid:durableId="828406070">
    <w:abstractNumId w:val="27"/>
  </w:num>
  <w:num w:numId="20" w16cid:durableId="179008159">
    <w:abstractNumId w:val="29"/>
  </w:num>
  <w:num w:numId="21" w16cid:durableId="1474711329">
    <w:abstractNumId w:val="0"/>
  </w:num>
  <w:num w:numId="22" w16cid:durableId="1549954305">
    <w:abstractNumId w:val="21"/>
  </w:num>
  <w:num w:numId="23" w16cid:durableId="649872374">
    <w:abstractNumId w:val="14"/>
  </w:num>
  <w:num w:numId="24" w16cid:durableId="883713450">
    <w:abstractNumId w:val="1"/>
  </w:num>
  <w:num w:numId="25" w16cid:durableId="1524631485">
    <w:abstractNumId w:val="26"/>
  </w:num>
  <w:num w:numId="26" w16cid:durableId="542909569">
    <w:abstractNumId w:val="25"/>
  </w:num>
  <w:num w:numId="27" w16cid:durableId="1996255105">
    <w:abstractNumId w:val="12"/>
  </w:num>
  <w:num w:numId="28" w16cid:durableId="902447862">
    <w:abstractNumId w:val="3"/>
  </w:num>
  <w:num w:numId="29" w16cid:durableId="1013646552">
    <w:abstractNumId w:val="30"/>
  </w:num>
  <w:num w:numId="30" w16cid:durableId="1761753113">
    <w:abstractNumId w:val="24"/>
  </w:num>
  <w:num w:numId="31" w16cid:durableId="2036347501">
    <w:abstractNumId w:val="19"/>
  </w:num>
  <w:num w:numId="32" w16cid:durableId="1034230974">
    <w:abstractNumId w:val="7"/>
  </w:num>
  <w:num w:numId="33" w16cid:durableId="1884319856">
    <w:abstractNumId w:val="17"/>
  </w:num>
  <w:num w:numId="34" w16cid:durableId="1200896750">
    <w:abstractNumId w:val="2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embedTrueTypeFonts/>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033A5"/>
    <w:rsid w:val="00010315"/>
    <w:rsid w:val="00011D64"/>
    <w:rsid w:val="000120A0"/>
    <w:rsid w:val="00025A65"/>
    <w:rsid w:val="0002732D"/>
    <w:rsid w:val="00032227"/>
    <w:rsid w:val="00032565"/>
    <w:rsid w:val="00034D75"/>
    <w:rsid w:val="00050B1C"/>
    <w:rsid w:val="000519F2"/>
    <w:rsid w:val="0006228A"/>
    <w:rsid w:val="00081BA5"/>
    <w:rsid w:val="000A45E2"/>
    <w:rsid w:val="000A600E"/>
    <w:rsid w:val="000B66BD"/>
    <w:rsid w:val="000C16B9"/>
    <w:rsid w:val="000D1151"/>
    <w:rsid w:val="000F0EBE"/>
    <w:rsid w:val="00102294"/>
    <w:rsid w:val="0010409B"/>
    <w:rsid w:val="00146E0B"/>
    <w:rsid w:val="001509E6"/>
    <w:rsid w:val="00166E68"/>
    <w:rsid w:val="001719FF"/>
    <w:rsid w:val="001952D2"/>
    <w:rsid w:val="001A322C"/>
    <w:rsid w:val="001A76F8"/>
    <w:rsid w:val="001B2106"/>
    <w:rsid w:val="001C35A8"/>
    <w:rsid w:val="001C68FF"/>
    <w:rsid w:val="001D04D0"/>
    <w:rsid w:val="001E2584"/>
    <w:rsid w:val="001F3C96"/>
    <w:rsid w:val="002029C4"/>
    <w:rsid w:val="002033A5"/>
    <w:rsid w:val="00212ABA"/>
    <w:rsid w:val="00214C90"/>
    <w:rsid w:val="00221BE2"/>
    <w:rsid w:val="002308AF"/>
    <w:rsid w:val="00232D2F"/>
    <w:rsid w:val="00245ECE"/>
    <w:rsid w:val="002476B8"/>
    <w:rsid w:val="00255550"/>
    <w:rsid w:val="00264BC5"/>
    <w:rsid w:val="0027281D"/>
    <w:rsid w:val="002742C3"/>
    <w:rsid w:val="002A1DFD"/>
    <w:rsid w:val="002C7F6B"/>
    <w:rsid w:val="002D1DD7"/>
    <w:rsid w:val="002F3D84"/>
    <w:rsid w:val="00300E85"/>
    <w:rsid w:val="00305E7F"/>
    <w:rsid w:val="00307853"/>
    <w:rsid w:val="003135B4"/>
    <w:rsid w:val="00320B4E"/>
    <w:rsid w:val="0032427F"/>
    <w:rsid w:val="00326244"/>
    <w:rsid w:val="00350B2A"/>
    <w:rsid w:val="00352D0F"/>
    <w:rsid w:val="00366E03"/>
    <w:rsid w:val="003769CA"/>
    <w:rsid w:val="00382D48"/>
    <w:rsid w:val="003961B5"/>
    <w:rsid w:val="003962E6"/>
    <w:rsid w:val="003B5F85"/>
    <w:rsid w:val="003C4109"/>
    <w:rsid w:val="003C70BE"/>
    <w:rsid w:val="00400E66"/>
    <w:rsid w:val="00401405"/>
    <w:rsid w:val="00413A93"/>
    <w:rsid w:val="004653E6"/>
    <w:rsid w:val="00475BFD"/>
    <w:rsid w:val="00481634"/>
    <w:rsid w:val="004819ED"/>
    <w:rsid w:val="004A7A1C"/>
    <w:rsid w:val="004C634F"/>
    <w:rsid w:val="004C7148"/>
    <w:rsid w:val="004F2F01"/>
    <w:rsid w:val="00500600"/>
    <w:rsid w:val="0050291F"/>
    <w:rsid w:val="00510CF1"/>
    <w:rsid w:val="005110A0"/>
    <w:rsid w:val="00524712"/>
    <w:rsid w:val="00527BC0"/>
    <w:rsid w:val="0054757E"/>
    <w:rsid w:val="0056275A"/>
    <w:rsid w:val="00564F53"/>
    <w:rsid w:val="00587D4F"/>
    <w:rsid w:val="005B6D97"/>
    <w:rsid w:val="005B7E21"/>
    <w:rsid w:val="005D0311"/>
    <w:rsid w:val="005D1495"/>
    <w:rsid w:val="005D2BB4"/>
    <w:rsid w:val="005D7DEE"/>
    <w:rsid w:val="00615F13"/>
    <w:rsid w:val="00617EC3"/>
    <w:rsid w:val="006259D7"/>
    <w:rsid w:val="00627C36"/>
    <w:rsid w:val="0064658A"/>
    <w:rsid w:val="006560F0"/>
    <w:rsid w:val="00657A47"/>
    <w:rsid w:val="00663ED3"/>
    <w:rsid w:val="006675DF"/>
    <w:rsid w:val="00667675"/>
    <w:rsid w:val="00671D8D"/>
    <w:rsid w:val="00695E63"/>
    <w:rsid w:val="0069703E"/>
    <w:rsid w:val="006A447C"/>
    <w:rsid w:val="006A7260"/>
    <w:rsid w:val="006C111F"/>
    <w:rsid w:val="006D0322"/>
    <w:rsid w:val="006D42DF"/>
    <w:rsid w:val="006D5B47"/>
    <w:rsid w:val="007027F3"/>
    <w:rsid w:val="00702DCB"/>
    <w:rsid w:val="007108D9"/>
    <w:rsid w:val="0071660C"/>
    <w:rsid w:val="007206A0"/>
    <w:rsid w:val="00723E89"/>
    <w:rsid w:val="00733E5A"/>
    <w:rsid w:val="007342B5"/>
    <w:rsid w:val="00746A24"/>
    <w:rsid w:val="0075618E"/>
    <w:rsid w:val="00787945"/>
    <w:rsid w:val="007A4E47"/>
    <w:rsid w:val="007C0F5B"/>
    <w:rsid w:val="007D7E02"/>
    <w:rsid w:val="007E14A6"/>
    <w:rsid w:val="007E5A45"/>
    <w:rsid w:val="007F320E"/>
    <w:rsid w:val="007F3965"/>
    <w:rsid w:val="007F3E4C"/>
    <w:rsid w:val="007F524A"/>
    <w:rsid w:val="007F6F83"/>
    <w:rsid w:val="008073F2"/>
    <w:rsid w:val="00824921"/>
    <w:rsid w:val="00827BC9"/>
    <w:rsid w:val="00837972"/>
    <w:rsid w:val="00841DE5"/>
    <w:rsid w:val="00857745"/>
    <w:rsid w:val="00874B85"/>
    <w:rsid w:val="008A1DCC"/>
    <w:rsid w:val="008A442D"/>
    <w:rsid w:val="008B454A"/>
    <w:rsid w:val="008B596C"/>
    <w:rsid w:val="008C2543"/>
    <w:rsid w:val="008D0AEB"/>
    <w:rsid w:val="008F5DDD"/>
    <w:rsid w:val="008F6197"/>
    <w:rsid w:val="00924314"/>
    <w:rsid w:val="00925059"/>
    <w:rsid w:val="00933440"/>
    <w:rsid w:val="0096049D"/>
    <w:rsid w:val="00970F81"/>
    <w:rsid w:val="00985BD5"/>
    <w:rsid w:val="009B42F1"/>
    <w:rsid w:val="009B622D"/>
    <w:rsid w:val="009C40DD"/>
    <w:rsid w:val="009E752B"/>
    <w:rsid w:val="009F58A5"/>
    <w:rsid w:val="00A05661"/>
    <w:rsid w:val="00A2031B"/>
    <w:rsid w:val="00A274D5"/>
    <w:rsid w:val="00A35C76"/>
    <w:rsid w:val="00A37662"/>
    <w:rsid w:val="00A4188C"/>
    <w:rsid w:val="00A513D2"/>
    <w:rsid w:val="00A64FCE"/>
    <w:rsid w:val="00A67228"/>
    <w:rsid w:val="00A73133"/>
    <w:rsid w:val="00A855AC"/>
    <w:rsid w:val="00AA05AB"/>
    <w:rsid w:val="00AC61B1"/>
    <w:rsid w:val="00B050EE"/>
    <w:rsid w:val="00B079F0"/>
    <w:rsid w:val="00B20D35"/>
    <w:rsid w:val="00B21013"/>
    <w:rsid w:val="00B26914"/>
    <w:rsid w:val="00B3762F"/>
    <w:rsid w:val="00B47E7D"/>
    <w:rsid w:val="00B55D10"/>
    <w:rsid w:val="00BC0963"/>
    <w:rsid w:val="00BC34D1"/>
    <w:rsid w:val="00BD42A5"/>
    <w:rsid w:val="00BF0E65"/>
    <w:rsid w:val="00BF45CF"/>
    <w:rsid w:val="00BF461D"/>
    <w:rsid w:val="00C00665"/>
    <w:rsid w:val="00C244B8"/>
    <w:rsid w:val="00C37DDF"/>
    <w:rsid w:val="00C454FE"/>
    <w:rsid w:val="00C67185"/>
    <w:rsid w:val="00CA0AF9"/>
    <w:rsid w:val="00CA2C48"/>
    <w:rsid w:val="00CC4160"/>
    <w:rsid w:val="00D0032B"/>
    <w:rsid w:val="00D03989"/>
    <w:rsid w:val="00D11E77"/>
    <w:rsid w:val="00D168F7"/>
    <w:rsid w:val="00D17C62"/>
    <w:rsid w:val="00D231F1"/>
    <w:rsid w:val="00D337EA"/>
    <w:rsid w:val="00D42E4B"/>
    <w:rsid w:val="00D473B6"/>
    <w:rsid w:val="00D53FB2"/>
    <w:rsid w:val="00D56463"/>
    <w:rsid w:val="00D928E6"/>
    <w:rsid w:val="00DB063F"/>
    <w:rsid w:val="00DD0F1A"/>
    <w:rsid w:val="00DD1406"/>
    <w:rsid w:val="00DD255F"/>
    <w:rsid w:val="00DD602C"/>
    <w:rsid w:val="00DE53E7"/>
    <w:rsid w:val="00DF0763"/>
    <w:rsid w:val="00DF70A7"/>
    <w:rsid w:val="00E113EC"/>
    <w:rsid w:val="00E152F9"/>
    <w:rsid w:val="00E3757E"/>
    <w:rsid w:val="00E42445"/>
    <w:rsid w:val="00E619C8"/>
    <w:rsid w:val="00E62639"/>
    <w:rsid w:val="00E652C9"/>
    <w:rsid w:val="00E740DD"/>
    <w:rsid w:val="00E77B9C"/>
    <w:rsid w:val="00E87DBD"/>
    <w:rsid w:val="00E93D7A"/>
    <w:rsid w:val="00EA5AF1"/>
    <w:rsid w:val="00EB65C4"/>
    <w:rsid w:val="00ED6EBE"/>
    <w:rsid w:val="00EF2161"/>
    <w:rsid w:val="00F009AE"/>
    <w:rsid w:val="00F1032F"/>
    <w:rsid w:val="00F108E0"/>
    <w:rsid w:val="00F1415F"/>
    <w:rsid w:val="00F152E2"/>
    <w:rsid w:val="00F16D5B"/>
    <w:rsid w:val="00F207CD"/>
    <w:rsid w:val="00F402AB"/>
    <w:rsid w:val="00F656A7"/>
    <w:rsid w:val="00F81B6E"/>
    <w:rsid w:val="00F84049"/>
    <w:rsid w:val="00F87D73"/>
    <w:rsid w:val="00F913E9"/>
    <w:rsid w:val="00FA0F94"/>
    <w:rsid w:val="00FA2B22"/>
    <w:rsid w:val="00FA4717"/>
    <w:rsid w:val="00FC1D48"/>
    <w:rsid w:val="00FD5C43"/>
    <w:rsid w:val="00FE06F4"/>
  </w:rsids>
  <m:mathPr>
    <m:mathFont m:val="Cambria Math"/>
    <m:brkBin m:val="before"/>
    <m:brkBinSub m:val="--"/>
    <m:smallFrac m:val="0"/>
    <m:dispDef/>
    <m:lMargin m:val="0"/>
    <m:rMargin m:val="0"/>
    <m:defJc m:val="centerGroup"/>
    <m:wrapIndent m:val="1440"/>
    <m:intLim m:val="subSup"/>
    <m:naryLim m:val="undOvr"/>
  </m:mathPr>
  <w:themeFontLang w:val="es-CR" w:bidi="th-T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030AEB5"/>
  <w15:docId w15:val="{3C833C10-1D08-8B41-A39E-68AB396D03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4"/>
        <w:szCs w:val="24"/>
        <w:lang w:val="es-CR"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C00665"/>
    <w:rPr>
      <w:lang w:val="en-GB"/>
    </w:rPr>
  </w:style>
  <w:style w:type="paragraph" w:styleId="Heading1">
    <w:name w:val="heading 1"/>
    <w:basedOn w:val="Normal"/>
    <w:next w:val="Normal"/>
    <w:link w:val="Heading1Char"/>
    <w:uiPriority w:val="9"/>
    <w:qFormat/>
    <w:pPr>
      <w:keepNext/>
      <w:keepLines/>
      <w:spacing w:before="240"/>
      <w:outlineLvl w:val="0"/>
    </w:pPr>
    <w:rPr>
      <w:rFonts w:ascii="Calibri" w:eastAsia="Calibri" w:hAnsi="Calibri" w:cs="Calibri"/>
      <w:color w:val="2E75B5"/>
      <w:sz w:val="32"/>
      <w:szCs w:val="32"/>
    </w:rPr>
  </w:style>
  <w:style w:type="paragraph" w:styleId="Heading2">
    <w:name w:val="heading 2"/>
    <w:basedOn w:val="Normal"/>
    <w:next w:val="Normal"/>
    <w:link w:val="Heading2Char"/>
    <w:uiPriority w:val="9"/>
    <w:unhideWhenUsed/>
    <w:qFormat/>
    <w:pPr>
      <w:keepNext/>
      <w:keepLines/>
      <w:spacing w:before="40"/>
      <w:outlineLvl w:val="1"/>
    </w:pPr>
    <w:rPr>
      <w:rFonts w:ascii="Calibri" w:eastAsia="Calibri" w:hAnsi="Calibri" w:cs="Calibri"/>
      <w:color w:val="2E75B5"/>
      <w:sz w:val="26"/>
      <w:szCs w:val="26"/>
    </w:rPr>
  </w:style>
  <w:style w:type="paragraph" w:styleId="Heading3">
    <w:name w:val="heading 3"/>
    <w:basedOn w:val="Normal"/>
    <w:next w:val="Normal"/>
    <w:link w:val="Heading3Char"/>
    <w:uiPriority w:val="9"/>
    <w:unhideWhenUsed/>
    <w:qFormat/>
    <w:pPr>
      <w:keepNext/>
      <w:keepLines/>
      <w:spacing w:before="40"/>
      <w:outlineLvl w:val="2"/>
    </w:pPr>
    <w:rPr>
      <w:rFonts w:ascii="Calibri" w:eastAsia="Calibri" w:hAnsi="Calibri" w:cs="Calibri"/>
      <w:color w:val="1E4D78"/>
    </w:rPr>
  </w:style>
  <w:style w:type="paragraph" w:styleId="Heading4">
    <w:name w:val="heading 4"/>
    <w:basedOn w:val="Normal"/>
    <w:next w:val="Normal"/>
    <w:uiPriority w:val="9"/>
    <w:semiHidden/>
    <w:unhideWhenUsed/>
    <w:qFormat/>
    <w:pPr>
      <w:keepNext/>
      <w:keepLines/>
      <w:spacing w:before="240" w:after="40"/>
      <w:outlineLvl w:val="3"/>
    </w:pPr>
    <w:rPr>
      <w:b/>
      <w:bCs/>
    </w:rPr>
  </w:style>
  <w:style w:type="paragraph" w:styleId="Heading5">
    <w:name w:val="heading 5"/>
    <w:basedOn w:val="Normal"/>
    <w:next w:val="Normal"/>
    <w:uiPriority w:val="9"/>
    <w:semiHidden/>
    <w:unhideWhenUsed/>
    <w:qFormat/>
    <w:pPr>
      <w:keepNext/>
      <w:keepLines/>
      <w:spacing w:before="220" w:after="40"/>
      <w:outlineLvl w:val="4"/>
    </w:pPr>
    <w:rPr>
      <w:b/>
      <w:bCs/>
      <w:sz w:val="22"/>
      <w:szCs w:val="22"/>
    </w:rPr>
  </w:style>
  <w:style w:type="paragraph" w:styleId="Heading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before="480" w:after="120"/>
    </w:pPr>
    <w:rPr>
      <w:b/>
      <w:bCs/>
      <w:sz w:val="72"/>
      <w:szCs w:val="72"/>
    </w:rPr>
  </w:style>
  <w:style w:type="character" w:customStyle="1" w:styleId="Heading1Char">
    <w:name w:val="Heading 1 Char"/>
    <w:basedOn w:val="DefaultParagraphFont"/>
    <w:link w:val="Heading1"/>
    <w:uiPriority w:val="9"/>
    <w:rsid w:val="00C1654B"/>
    <w:rPr>
      <w:rFonts w:asciiTheme="majorHAnsi" w:eastAsiaTheme="majorEastAsia" w:hAnsiTheme="majorHAnsi" w:cstheme="majorBidi"/>
      <w:color w:val="B43412" w:themeColor="accent1" w:themeShade="BF"/>
      <w:sz w:val="32"/>
      <w:szCs w:val="32"/>
      <w:lang w:val="en-US"/>
    </w:rPr>
  </w:style>
  <w:style w:type="character" w:customStyle="1" w:styleId="Heading2Char">
    <w:name w:val="Heading 2 Char"/>
    <w:basedOn w:val="DefaultParagraphFont"/>
    <w:link w:val="Heading2"/>
    <w:uiPriority w:val="9"/>
    <w:rsid w:val="00C1654B"/>
    <w:rPr>
      <w:rFonts w:asciiTheme="majorHAnsi" w:eastAsiaTheme="majorEastAsia" w:hAnsiTheme="majorHAnsi" w:cstheme="majorBidi"/>
      <w:color w:val="B43412" w:themeColor="accent1" w:themeShade="BF"/>
      <w:sz w:val="26"/>
      <w:szCs w:val="26"/>
      <w:lang w:val="en-US"/>
    </w:rPr>
  </w:style>
  <w:style w:type="character" w:customStyle="1" w:styleId="Heading3Char">
    <w:name w:val="Heading 3 Char"/>
    <w:basedOn w:val="DefaultParagraphFont"/>
    <w:link w:val="Heading3"/>
    <w:uiPriority w:val="9"/>
    <w:rsid w:val="00C1654B"/>
    <w:rPr>
      <w:rFonts w:asciiTheme="majorHAnsi" w:eastAsiaTheme="majorEastAsia" w:hAnsiTheme="majorHAnsi" w:cstheme="majorBidi"/>
      <w:color w:val="77230C" w:themeColor="accent1" w:themeShade="7F"/>
      <w:sz w:val="24"/>
      <w:szCs w:val="24"/>
      <w:lang w:val="en-US"/>
    </w:rPr>
  </w:style>
  <w:style w:type="paragraph" w:styleId="Header">
    <w:name w:val="header"/>
    <w:basedOn w:val="Normal"/>
    <w:link w:val="HeaderChar"/>
    <w:uiPriority w:val="99"/>
    <w:unhideWhenUsed/>
    <w:rsid w:val="008E2840"/>
    <w:pPr>
      <w:tabs>
        <w:tab w:val="center" w:pos="4513"/>
        <w:tab w:val="right" w:pos="9026"/>
      </w:tabs>
    </w:pPr>
  </w:style>
  <w:style w:type="character" w:customStyle="1" w:styleId="HeaderChar">
    <w:name w:val="Header Char"/>
    <w:basedOn w:val="DefaultParagraphFont"/>
    <w:link w:val="Header"/>
    <w:uiPriority w:val="99"/>
    <w:rsid w:val="008E2840"/>
  </w:style>
  <w:style w:type="paragraph" w:styleId="Footer">
    <w:name w:val="footer"/>
    <w:basedOn w:val="Normal"/>
    <w:link w:val="FooterChar"/>
    <w:uiPriority w:val="99"/>
    <w:unhideWhenUsed/>
    <w:rsid w:val="008E2840"/>
    <w:pPr>
      <w:tabs>
        <w:tab w:val="center" w:pos="4513"/>
        <w:tab w:val="right" w:pos="9026"/>
      </w:tabs>
    </w:pPr>
  </w:style>
  <w:style w:type="character" w:customStyle="1" w:styleId="FooterChar">
    <w:name w:val="Footer Char"/>
    <w:basedOn w:val="DefaultParagraphFont"/>
    <w:link w:val="Footer"/>
    <w:uiPriority w:val="99"/>
    <w:rsid w:val="008E2840"/>
  </w:style>
  <w:style w:type="paragraph" w:styleId="NoSpacing">
    <w:name w:val="No Spacing"/>
    <w:uiPriority w:val="1"/>
    <w:qFormat/>
    <w:rsid w:val="00BC6E73"/>
  </w:style>
  <w:style w:type="table" w:styleId="TableGrid">
    <w:name w:val="Table Grid"/>
    <w:basedOn w:val="TableNormal"/>
    <w:uiPriority w:val="39"/>
    <w:rsid w:val="00E3466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semiHidden/>
    <w:unhideWhenUsed/>
    <w:rsid w:val="00BE1B69"/>
    <w:rPr>
      <w:rFonts w:ascii="Segoe UI" w:hAnsi="Segoe UI" w:cs="Segoe UI"/>
      <w:sz w:val="18"/>
      <w:szCs w:val="18"/>
    </w:rPr>
  </w:style>
  <w:style w:type="character" w:customStyle="1" w:styleId="BalloonTextChar">
    <w:name w:val="Balloon Text Char"/>
    <w:basedOn w:val="DefaultParagraphFont"/>
    <w:link w:val="BalloonText"/>
    <w:uiPriority w:val="99"/>
    <w:semiHidden/>
    <w:rsid w:val="00BE1B69"/>
    <w:rPr>
      <w:rFonts w:ascii="Segoe UI" w:hAnsi="Segoe UI" w:cs="Segoe UI"/>
      <w:sz w:val="18"/>
      <w:szCs w:val="18"/>
    </w:rPr>
  </w:style>
  <w:style w:type="character" w:styleId="Hyperlink">
    <w:name w:val="Hyperlink"/>
    <w:basedOn w:val="DefaultParagraphFont"/>
    <w:uiPriority w:val="99"/>
    <w:unhideWhenUsed/>
    <w:rsid w:val="0015036D"/>
    <w:rPr>
      <w:color w:val="CC9900" w:themeColor="hyperlink"/>
      <w:u w:val="single"/>
    </w:rPr>
  </w:style>
  <w:style w:type="paragraph" w:styleId="ListParagraph">
    <w:name w:val="List Paragraph"/>
    <w:basedOn w:val="Normal"/>
    <w:uiPriority w:val="34"/>
    <w:qFormat/>
    <w:rsid w:val="004F10BC"/>
    <w:pPr>
      <w:ind w:left="720"/>
      <w:contextualSpacing/>
    </w:pPr>
    <w:rPr>
      <w:rFonts w:ascii="Times" w:hAnsi="Times"/>
      <w:sz w:val="20"/>
      <w:szCs w:val="20"/>
      <w:lang w:val="es-HN" w:eastAsia="es-ES"/>
    </w:rPr>
  </w:style>
  <w:style w:type="paragraph" w:styleId="FootnoteText">
    <w:name w:val="footnote text"/>
    <w:basedOn w:val="Normal"/>
    <w:link w:val="FootnoteTextChar"/>
    <w:uiPriority w:val="99"/>
    <w:semiHidden/>
    <w:unhideWhenUsed/>
    <w:rsid w:val="00C1654B"/>
    <w:rPr>
      <w:sz w:val="20"/>
      <w:szCs w:val="20"/>
      <w:lang w:val="en-US"/>
    </w:rPr>
  </w:style>
  <w:style w:type="character" w:customStyle="1" w:styleId="FootnoteTextChar">
    <w:name w:val="Footnote Text Char"/>
    <w:basedOn w:val="DefaultParagraphFont"/>
    <w:link w:val="FootnoteText"/>
    <w:uiPriority w:val="99"/>
    <w:semiHidden/>
    <w:rsid w:val="00C1654B"/>
    <w:rPr>
      <w:sz w:val="20"/>
      <w:szCs w:val="20"/>
      <w:lang w:val="en-US"/>
    </w:rPr>
  </w:style>
  <w:style w:type="character" w:styleId="FootnoteReference">
    <w:name w:val="footnote reference"/>
    <w:basedOn w:val="DefaultParagraphFont"/>
    <w:uiPriority w:val="99"/>
    <w:semiHidden/>
    <w:unhideWhenUsed/>
    <w:rsid w:val="00C1654B"/>
    <w:rPr>
      <w:vertAlign w:val="superscript"/>
    </w:rPr>
  </w:style>
  <w:style w:type="paragraph" w:customStyle="1" w:styleId="bodytext">
    <w:name w:val="bodytext"/>
    <w:basedOn w:val="Normal"/>
    <w:rsid w:val="00C1654B"/>
    <w:pPr>
      <w:spacing w:before="100" w:beforeAutospacing="1" w:after="100" w:afterAutospacing="1"/>
    </w:pPr>
    <w:rPr>
      <w:lang w:val="en-US" w:eastAsia="es-CR"/>
    </w:rPr>
  </w:style>
  <w:style w:type="character" w:styleId="Strong">
    <w:name w:val="Strong"/>
    <w:basedOn w:val="DefaultParagraphFont"/>
    <w:uiPriority w:val="22"/>
    <w:qFormat/>
    <w:rsid w:val="00C1654B"/>
    <w:rPr>
      <w:b/>
      <w:bCs/>
    </w:rPr>
  </w:style>
  <w:style w:type="character" w:customStyle="1" w:styleId="filatablalegislacion">
    <w:name w:val="filatablalegislacion"/>
    <w:basedOn w:val="DefaultParagraphFont"/>
    <w:rsid w:val="00C1654B"/>
  </w:style>
  <w:style w:type="paragraph" w:styleId="TOCHeading">
    <w:name w:val="TOC Heading"/>
    <w:basedOn w:val="Heading1"/>
    <w:next w:val="Normal"/>
    <w:uiPriority w:val="39"/>
    <w:unhideWhenUsed/>
    <w:qFormat/>
    <w:rsid w:val="00C1654B"/>
    <w:pPr>
      <w:outlineLvl w:val="9"/>
    </w:pPr>
  </w:style>
  <w:style w:type="paragraph" w:styleId="TOC1">
    <w:name w:val="toc 1"/>
    <w:basedOn w:val="Normal"/>
    <w:next w:val="Normal"/>
    <w:autoRedefine/>
    <w:uiPriority w:val="39"/>
    <w:unhideWhenUsed/>
    <w:rsid w:val="00C1654B"/>
    <w:pPr>
      <w:spacing w:before="120" w:after="120"/>
    </w:pPr>
    <w:rPr>
      <w:rFonts w:asciiTheme="minorHAnsi" w:hAnsiTheme="minorHAnsi" w:cstheme="minorHAnsi"/>
      <w:b/>
      <w:bCs/>
      <w:caps/>
      <w:sz w:val="20"/>
      <w:szCs w:val="20"/>
    </w:rPr>
  </w:style>
  <w:style w:type="paragraph" w:styleId="TOC2">
    <w:name w:val="toc 2"/>
    <w:basedOn w:val="Normal"/>
    <w:next w:val="Normal"/>
    <w:autoRedefine/>
    <w:uiPriority w:val="39"/>
    <w:unhideWhenUsed/>
    <w:rsid w:val="003135B4"/>
    <w:pPr>
      <w:tabs>
        <w:tab w:val="right" w:leader="dot" w:pos="9016"/>
      </w:tabs>
      <w:ind w:left="240"/>
    </w:pPr>
    <w:rPr>
      <w:rFonts w:ascii="Arial" w:eastAsia="Arial" w:hAnsi="Arial" w:cs="Arial"/>
      <w:b/>
      <w:bCs/>
      <w:smallCaps/>
      <w:noProof/>
      <w:sz w:val="20"/>
      <w:szCs w:val="20"/>
    </w:rPr>
  </w:style>
  <w:style w:type="paragraph" w:styleId="TOC3">
    <w:name w:val="toc 3"/>
    <w:basedOn w:val="Normal"/>
    <w:next w:val="Normal"/>
    <w:autoRedefine/>
    <w:uiPriority w:val="39"/>
    <w:unhideWhenUsed/>
    <w:rsid w:val="003135B4"/>
    <w:pPr>
      <w:tabs>
        <w:tab w:val="right" w:leader="dot" w:pos="9016"/>
      </w:tabs>
      <w:ind w:left="480"/>
    </w:pPr>
    <w:rPr>
      <w:rFonts w:ascii="Arial" w:hAnsi="Arial" w:cs="Arial"/>
      <w:b/>
      <w:bCs/>
      <w:i/>
      <w:iCs/>
      <w:noProof/>
      <w:sz w:val="20"/>
      <w:szCs w:val="20"/>
      <w:lang w:val="en-US"/>
    </w:rPr>
  </w:style>
  <w:style w:type="character" w:customStyle="1" w:styleId="Mencinsinresolver1">
    <w:name w:val="Mención sin resolver1"/>
    <w:basedOn w:val="DefaultParagraphFont"/>
    <w:uiPriority w:val="99"/>
    <w:rsid w:val="00BC0628"/>
    <w:rPr>
      <w:color w:val="605E5C"/>
      <w:shd w:val="clear" w:color="auto" w:fill="E1DFDD"/>
    </w:rPr>
  </w:style>
  <w:style w:type="paragraph" w:customStyle="1" w:styleId="Default">
    <w:name w:val="Default"/>
    <w:rsid w:val="000B7BCB"/>
    <w:pPr>
      <w:autoSpaceDE w:val="0"/>
      <w:autoSpaceDN w:val="0"/>
      <w:adjustRightInd w:val="0"/>
    </w:pPr>
    <w:rPr>
      <w:rFonts w:ascii="Cambria" w:hAnsi="Cambria" w:cs="Cambria"/>
      <w:color w:val="000000"/>
      <w:lang w:val="en-US" w:bidi="en-US"/>
    </w:rPr>
  </w:style>
  <w:style w:type="character" w:styleId="CommentReference">
    <w:name w:val="annotation reference"/>
    <w:basedOn w:val="DefaultParagraphFont"/>
    <w:uiPriority w:val="99"/>
    <w:semiHidden/>
    <w:unhideWhenUsed/>
    <w:rsid w:val="004E0A79"/>
    <w:rPr>
      <w:sz w:val="16"/>
      <w:szCs w:val="16"/>
    </w:rPr>
  </w:style>
  <w:style w:type="paragraph" w:styleId="CommentText">
    <w:name w:val="annotation text"/>
    <w:basedOn w:val="Normal"/>
    <w:link w:val="CommentTextChar"/>
    <w:uiPriority w:val="99"/>
    <w:unhideWhenUsed/>
    <w:rsid w:val="004E0A79"/>
    <w:rPr>
      <w:sz w:val="20"/>
      <w:szCs w:val="20"/>
    </w:rPr>
  </w:style>
  <w:style w:type="character" w:customStyle="1" w:styleId="CommentTextChar">
    <w:name w:val="Comment Text Char"/>
    <w:basedOn w:val="DefaultParagraphFont"/>
    <w:link w:val="CommentText"/>
    <w:uiPriority w:val="99"/>
    <w:rsid w:val="004E0A79"/>
    <w:rPr>
      <w:sz w:val="20"/>
      <w:szCs w:val="20"/>
    </w:rPr>
  </w:style>
  <w:style w:type="paragraph" w:styleId="CommentSubject">
    <w:name w:val="annotation subject"/>
    <w:basedOn w:val="CommentText"/>
    <w:next w:val="CommentText"/>
    <w:link w:val="CommentSubjectChar"/>
    <w:uiPriority w:val="99"/>
    <w:semiHidden/>
    <w:unhideWhenUsed/>
    <w:rsid w:val="004E0A79"/>
    <w:rPr>
      <w:b/>
      <w:bCs/>
    </w:rPr>
  </w:style>
  <w:style w:type="character" w:customStyle="1" w:styleId="CommentSubjectChar">
    <w:name w:val="Comment Subject Char"/>
    <w:basedOn w:val="CommentTextChar"/>
    <w:link w:val="CommentSubject"/>
    <w:uiPriority w:val="99"/>
    <w:semiHidden/>
    <w:rsid w:val="004E0A79"/>
    <w:rPr>
      <w:b/>
      <w:bCs/>
      <w:sz w:val="20"/>
      <w:szCs w:val="20"/>
    </w:rPr>
  </w:style>
  <w:style w:type="paragraph" w:styleId="NormalWeb">
    <w:name w:val="Normal (Web)"/>
    <w:basedOn w:val="Normal"/>
    <w:uiPriority w:val="99"/>
    <w:unhideWhenUsed/>
    <w:rsid w:val="00BB4989"/>
    <w:pPr>
      <w:spacing w:before="100" w:beforeAutospacing="1" w:after="100" w:afterAutospacing="1"/>
    </w:pPr>
    <w:rPr>
      <w:lang w:val="es-HN"/>
    </w:rPr>
  </w:style>
  <w:style w:type="character" w:customStyle="1" w:styleId="apple-converted-space">
    <w:name w:val="apple-converted-space"/>
    <w:basedOn w:val="DefaultParagraphFont"/>
    <w:rsid w:val="00E96E51"/>
  </w:style>
  <w:style w:type="paragraph" w:styleId="Revision">
    <w:name w:val="Revision"/>
    <w:hidden/>
    <w:uiPriority w:val="99"/>
    <w:semiHidden/>
    <w:rsid w:val="00E359F0"/>
  </w:style>
  <w:style w:type="character" w:styleId="UnresolvedMention">
    <w:name w:val="Unresolved Mention"/>
    <w:basedOn w:val="DefaultParagraphFont"/>
    <w:uiPriority w:val="99"/>
    <w:semiHidden/>
    <w:unhideWhenUsed/>
    <w:rsid w:val="00C41A0E"/>
    <w:rPr>
      <w:color w:val="605E5C"/>
      <w:shd w:val="clear" w:color="auto" w:fill="E1DFDD"/>
    </w:rPr>
  </w:style>
  <w:style w:type="paragraph" w:styleId="TOC4">
    <w:name w:val="toc 4"/>
    <w:basedOn w:val="Normal"/>
    <w:next w:val="Normal"/>
    <w:autoRedefine/>
    <w:uiPriority w:val="39"/>
    <w:semiHidden/>
    <w:unhideWhenUsed/>
    <w:rsid w:val="00100DB0"/>
    <w:pPr>
      <w:ind w:left="720"/>
    </w:pPr>
    <w:rPr>
      <w:rFonts w:asciiTheme="minorHAnsi" w:hAnsiTheme="minorHAnsi" w:cstheme="minorHAnsi"/>
      <w:sz w:val="18"/>
      <w:szCs w:val="18"/>
    </w:rPr>
  </w:style>
  <w:style w:type="paragraph" w:styleId="TOC5">
    <w:name w:val="toc 5"/>
    <w:basedOn w:val="Normal"/>
    <w:next w:val="Normal"/>
    <w:autoRedefine/>
    <w:uiPriority w:val="39"/>
    <w:semiHidden/>
    <w:unhideWhenUsed/>
    <w:rsid w:val="00100DB0"/>
    <w:pPr>
      <w:ind w:left="960"/>
    </w:pPr>
    <w:rPr>
      <w:rFonts w:asciiTheme="minorHAnsi" w:hAnsiTheme="minorHAnsi" w:cstheme="minorHAnsi"/>
      <w:sz w:val="18"/>
      <w:szCs w:val="18"/>
    </w:rPr>
  </w:style>
  <w:style w:type="paragraph" w:styleId="TOC6">
    <w:name w:val="toc 6"/>
    <w:basedOn w:val="Normal"/>
    <w:next w:val="Normal"/>
    <w:autoRedefine/>
    <w:uiPriority w:val="39"/>
    <w:semiHidden/>
    <w:unhideWhenUsed/>
    <w:rsid w:val="00100DB0"/>
    <w:pPr>
      <w:ind w:left="1200"/>
    </w:pPr>
    <w:rPr>
      <w:rFonts w:asciiTheme="minorHAnsi" w:hAnsiTheme="minorHAnsi" w:cstheme="minorHAnsi"/>
      <w:sz w:val="18"/>
      <w:szCs w:val="18"/>
    </w:rPr>
  </w:style>
  <w:style w:type="paragraph" w:styleId="TOC7">
    <w:name w:val="toc 7"/>
    <w:basedOn w:val="Normal"/>
    <w:next w:val="Normal"/>
    <w:autoRedefine/>
    <w:uiPriority w:val="39"/>
    <w:semiHidden/>
    <w:unhideWhenUsed/>
    <w:rsid w:val="00100DB0"/>
    <w:pPr>
      <w:ind w:left="1440"/>
    </w:pPr>
    <w:rPr>
      <w:rFonts w:asciiTheme="minorHAnsi" w:hAnsiTheme="minorHAnsi" w:cstheme="minorHAnsi"/>
      <w:sz w:val="18"/>
      <w:szCs w:val="18"/>
    </w:rPr>
  </w:style>
  <w:style w:type="paragraph" w:styleId="TOC8">
    <w:name w:val="toc 8"/>
    <w:basedOn w:val="Normal"/>
    <w:next w:val="Normal"/>
    <w:autoRedefine/>
    <w:uiPriority w:val="39"/>
    <w:semiHidden/>
    <w:unhideWhenUsed/>
    <w:rsid w:val="00100DB0"/>
    <w:pPr>
      <w:ind w:left="1680"/>
    </w:pPr>
    <w:rPr>
      <w:rFonts w:asciiTheme="minorHAnsi" w:hAnsiTheme="minorHAnsi" w:cstheme="minorHAnsi"/>
      <w:sz w:val="18"/>
      <w:szCs w:val="18"/>
    </w:rPr>
  </w:style>
  <w:style w:type="paragraph" w:styleId="TOC9">
    <w:name w:val="toc 9"/>
    <w:basedOn w:val="Normal"/>
    <w:next w:val="Normal"/>
    <w:autoRedefine/>
    <w:uiPriority w:val="39"/>
    <w:semiHidden/>
    <w:unhideWhenUsed/>
    <w:rsid w:val="00100DB0"/>
    <w:pPr>
      <w:ind w:left="1920"/>
    </w:pPr>
    <w:rPr>
      <w:rFonts w:asciiTheme="minorHAnsi" w:hAnsiTheme="minorHAnsi" w:cstheme="minorHAnsi"/>
      <w:sz w:val="18"/>
      <w:szCs w:val="18"/>
    </w:rPr>
  </w:style>
  <w:style w:type="table" w:styleId="PlainTable2">
    <w:name w:val="Plain Table 2"/>
    <w:basedOn w:val="TableNormal"/>
    <w:uiPriority w:val="42"/>
    <w:rsid w:val="00270D74"/>
    <w:tblPr>
      <w:tblStyleRowBandSize w:val="1"/>
      <w:tblStyleColBandSize w:val="1"/>
      <w:tblBorders>
        <w:top w:val="single" w:sz="4" w:space="0" w:color="7F7F7F" w:themeColor="text1" w:themeTint="80"/>
        <w:bottom w:val="single" w:sz="4" w:space="0" w:color="7F7F7F" w:themeColor="text1" w:themeTint="80"/>
      </w:tblBorders>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paragraph" w:styleId="Subtitl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table" w:customStyle="1" w:styleId="ac">
    <w:basedOn w:val="TableNormal"/>
    <w:tblPr>
      <w:tblStyleRowBandSize w:val="1"/>
      <w:tblStyleColBandSize w:val="1"/>
    </w:tblPr>
  </w:style>
  <w:style w:type="table" w:customStyle="1" w:styleId="ad">
    <w:basedOn w:val="TableNormal"/>
    <w:tblPr>
      <w:tblStyleRowBandSize w:val="1"/>
      <w:tblStyleColBandSize w:val="1"/>
    </w:tblPr>
  </w:style>
  <w:style w:type="table" w:customStyle="1" w:styleId="ae">
    <w:basedOn w:val="TableNormal"/>
    <w:tblPr>
      <w:tblStyleRowBandSize w:val="1"/>
      <w:tblStyleColBandSize w:val="1"/>
    </w:tblPr>
  </w:style>
  <w:style w:type="table" w:customStyle="1" w:styleId="af">
    <w:basedOn w:val="TableNormal"/>
    <w:tblPr>
      <w:tblStyleRowBandSize w:val="1"/>
      <w:tblStyleColBandSize w:val="1"/>
    </w:tblPr>
  </w:style>
  <w:style w:type="table" w:customStyle="1" w:styleId="af0">
    <w:basedOn w:val="TableNormal"/>
    <w:tblPr>
      <w:tblStyleRowBandSize w:val="1"/>
      <w:tblStyleColBandSize w:val="1"/>
    </w:tblPr>
  </w:style>
  <w:style w:type="table" w:customStyle="1" w:styleId="af1">
    <w:basedOn w:val="TableNormal"/>
    <w:tblPr>
      <w:tblStyleRowBandSize w:val="1"/>
      <w:tblStyleColBandSize w:val="1"/>
    </w:tblPr>
  </w:style>
  <w:style w:type="table" w:customStyle="1" w:styleId="af2">
    <w:basedOn w:val="TableNormal"/>
    <w:tblPr>
      <w:tblStyleRowBandSize w:val="1"/>
      <w:tblStyleColBandSize w:val="1"/>
    </w:tblPr>
  </w:style>
  <w:style w:type="table" w:customStyle="1" w:styleId="af3">
    <w:basedOn w:val="TableNormal"/>
    <w:tblPr>
      <w:tblStyleRowBandSize w:val="1"/>
      <w:tblStyleColBandSize w:val="1"/>
    </w:tblPr>
  </w:style>
  <w:style w:type="table" w:customStyle="1" w:styleId="af4">
    <w:basedOn w:val="TableNormal"/>
    <w:tblPr>
      <w:tblStyleRowBandSize w:val="1"/>
      <w:tblStyleColBandSize w:val="1"/>
      <w:tblCellMar>
        <w:top w:w="100" w:type="dxa"/>
        <w:left w:w="100" w:type="dxa"/>
        <w:bottom w:w="100" w:type="dxa"/>
        <w:right w:w="100" w:type="dxa"/>
      </w:tblCellMar>
    </w:tblPr>
  </w:style>
  <w:style w:type="table" w:customStyle="1" w:styleId="af5">
    <w:basedOn w:val="TableNormal"/>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3482110">
      <w:bodyDiv w:val="1"/>
      <w:marLeft w:val="0"/>
      <w:marRight w:val="0"/>
      <w:marTop w:val="0"/>
      <w:marBottom w:val="0"/>
      <w:divBdr>
        <w:top w:val="none" w:sz="0" w:space="0" w:color="auto"/>
        <w:left w:val="none" w:sz="0" w:space="0" w:color="auto"/>
        <w:bottom w:val="none" w:sz="0" w:space="0" w:color="auto"/>
        <w:right w:val="none" w:sz="0" w:space="0" w:color="auto"/>
      </w:divBdr>
    </w:div>
    <w:div w:id="642587895">
      <w:bodyDiv w:val="1"/>
      <w:marLeft w:val="0"/>
      <w:marRight w:val="0"/>
      <w:marTop w:val="0"/>
      <w:marBottom w:val="0"/>
      <w:divBdr>
        <w:top w:val="none" w:sz="0" w:space="0" w:color="auto"/>
        <w:left w:val="none" w:sz="0" w:space="0" w:color="auto"/>
        <w:bottom w:val="none" w:sz="0" w:space="0" w:color="auto"/>
        <w:right w:val="none" w:sz="0" w:space="0" w:color="auto"/>
      </w:divBdr>
    </w:div>
    <w:div w:id="1187253741">
      <w:bodyDiv w:val="1"/>
      <w:marLeft w:val="0"/>
      <w:marRight w:val="0"/>
      <w:marTop w:val="0"/>
      <w:marBottom w:val="0"/>
      <w:divBdr>
        <w:top w:val="none" w:sz="0" w:space="0" w:color="auto"/>
        <w:left w:val="none" w:sz="0" w:space="0" w:color="auto"/>
        <w:bottom w:val="none" w:sz="0" w:space="0" w:color="auto"/>
        <w:right w:val="none" w:sz="0" w:space="0" w:color="auto"/>
      </w:divBdr>
    </w:div>
    <w:div w:id="1189099624">
      <w:bodyDiv w:val="1"/>
      <w:marLeft w:val="0"/>
      <w:marRight w:val="0"/>
      <w:marTop w:val="0"/>
      <w:marBottom w:val="0"/>
      <w:divBdr>
        <w:top w:val="none" w:sz="0" w:space="0" w:color="auto"/>
        <w:left w:val="none" w:sz="0" w:space="0" w:color="auto"/>
        <w:bottom w:val="none" w:sz="0" w:space="0" w:color="auto"/>
        <w:right w:val="none" w:sz="0" w:space="0" w:color="auto"/>
      </w:divBdr>
    </w:div>
    <w:div w:id="1976521759">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image" Target="media/image2.jpg"/><Relationship Id="rId18" Type="http://schemas.openxmlformats.org/officeDocument/2006/relationships/hyperlink" Target="http://creativecommons.org/licenses/by/4.0/" TargetMode="External"/><Relationship Id="rId26" Type="http://schemas.openxmlformats.org/officeDocument/2006/relationships/image" Target="media/image10.png"/><Relationship Id="rId39" Type="http://schemas.openxmlformats.org/officeDocument/2006/relationships/image" Target="media/image12.png"/><Relationship Id="rId21" Type="http://schemas.openxmlformats.org/officeDocument/2006/relationships/image" Target="media/image8.png"/><Relationship Id="rId34" Type="http://schemas.openxmlformats.org/officeDocument/2006/relationships/chart" Target="charts/chart8.xml"/><Relationship Id="rId42" Type="http://schemas.openxmlformats.org/officeDocument/2006/relationships/image" Target="media/image15.png"/><Relationship Id="rId47" Type="http://schemas.openxmlformats.org/officeDocument/2006/relationships/image" Target="media/image20.png"/><Relationship Id="rId50" Type="http://schemas.openxmlformats.org/officeDocument/2006/relationships/image" Target="media/image23.png"/><Relationship Id="rId55" Type="http://schemas.openxmlformats.org/officeDocument/2006/relationships/image" Target="media/image28.png"/><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image" Target="media/image5.jpg"/><Relationship Id="rId29" Type="http://schemas.openxmlformats.org/officeDocument/2006/relationships/chart" Target="charts/chart3.xml"/><Relationship Id="rId11" Type="http://schemas.openxmlformats.org/officeDocument/2006/relationships/endnotes" Target="endnotes.xml"/><Relationship Id="rId24" Type="http://schemas.openxmlformats.org/officeDocument/2006/relationships/hyperlink" Target="https://peraturan.go.id/" TargetMode="External"/><Relationship Id="rId32" Type="http://schemas.openxmlformats.org/officeDocument/2006/relationships/chart" Target="charts/chart6.xml"/><Relationship Id="rId37" Type="http://schemas.openxmlformats.org/officeDocument/2006/relationships/chart" Target="charts/chart11.xml"/><Relationship Id="rId40" Type="http://schemas.openxmlformats.org/officeDocument/2006/relationships/image" Target="media/image13.png"/><Relationship Id="rId45" Type="http://schemas.openxmlformats.org/officeDocument/2006/relationships/image" Target="media/image18.png"/><Relationship Id="rId53" Type="http://schemas.openxmlformats.org/officeDocument/2006/relationships/image" Target="media/image26.png"/><Relationship Id="rId58" Type="http://schemas.openxmlformats.org/officeDocument/2006/relationships/footer" Target="footer1.xml"/><Relationship Id="rId5" Type="http://schemas.openxmlformats.org/officeDocument/2006/relationships/customXml" Target="../customXml/item5.xml"/><Relationship Id="rId61" Type="http://schemas.openxmlformats.org/officeDocument/2006/relationships/theme" Target="theme/theme1.xml"/><Relationship Id="rId19" Type="http://schemas.openxmlformats.org/officeDocument/2006/relationships/image" Target="media/image7.png"/><Relationship Id="rId14" Type="http://schemas.openxmlformats.org/officeDocument/2006/relationships/image" Target="media/image3.jpg"/><Relationship Id="rId22" Type="http://schemas.openxmlformats.org/officeDocument/2006/relationships/image" Target="media/image9.png"/><Relationship Id="rId27" Type="http://schemas.openxmlformats.org/officeDocument/2006/relationships/chart" Target="charts/chart1.xml"/><Relationship Id="rId30" Type="http://schemas.openxmlformats.org/officeDocument/2006/relationships/chart" Target="charts/chart4.xml"/><Relationship Id="rId35" Type="http://schemas.openxmlformats.org/officeDocument/2006/relationships/chart" Target="charts/chart9.xml"/><Relationship Id="rId43" Type="http://schemas.openxmlformats.org/officeDocument/2006/relationships/image" Target="media/image16.png"/><Relationship Id="rId48" Type="http://schemas.openxmlformats.org/officeDocument/2006/relationships/image" Target="media/image21.png"/><Relationship Id="rId56" Type="http://schemas.openxmlformats.org/officeDocument/2006/relationships/image" Target="media/image29.png"/><Relationship Id="rId8" Type="http://schemas.openxmlformats.org/officeDocument/2006/relationships/settings" Target="settings.xml"/><Relationship Id="rId51" Type="http://schemas.openxmlformats.org/officeDocument/2006/relationships/image" Target="media/image24.png"/><Relationship Id="rId3" Type="http://schemas.openxmlformats.org/officeDocument/2006/relationships/customXml" Target="../customXml/item3.xml"/><Relationship Id="rId12" Type="http://schemas.openxmlformats.org/officeDocument/2006/relationships/image" Target="media/image1.png"/><Relationship Id="rId17" Type="http://schemas.openxmlformats.org/officeDocument/2006/relationships/image" Target="media/image6.jpg"/><Relationship Id="rId25" Type="http://schemas.openxmlformats.org/officeDocument/2006/relationships/hyperlink" Target="https://intras.ntbprov.go.id/" TargetMode="External"/><Relationship Id="rId33" Type="http://schemas.openxmlformats.org/officeDocument/2006/relationships/chart" Target="charts/chart7.xml"/><Relationship Id="rId38" Type="http://schemas.openxmlformats.org/officeDocument/2006/relationships/image" Target="media/image11.png"/><Relationship Id="rId46" Type="http://schemas.openxmlformats.org/officeDocument/2006/relationships/image" Target="media/image19.png"/><Relationship Id="rId59" Type="http://schemas.openxmlformats.org/officeDocument/2006/relationships/footer" Target="footer2.xml"/><Relationship Id="rId20" Type="http://schemas.openxmlformats.org/officeDocument/2006/relationships/hyperlink" Target="http://creativecommons.org/licenses/by/4.0/" TargetMode="External"/><Relationship Id="rId41" Type="http://schemas.openxmlformats.org/officeDocument/2006/relationships/image" Target="media/image14.png"/><Relationship Id="rId54" Type="http://schemas.openxmlformats.org/officeDocument/2006/relationships/image" Target="media/image27.png"/><Relationship Id="rId1" Type="http://schemas.openxmlformats.org/officeDocument/2006/relationships/customXml" Target="../customXml/item1.xml"/><Relationship Id="rId6" Type="http://schemas.openxmlformats.org/officeDocument/2006/relationships/numbering" Target="numbering.xml"/><Relationship Id="rId15" Type="http://schemas.openxmlformats.org/officeDocument/2006/relationships/image" Target="media/image4.jpg"/><Relationship Id="rId23" Type="http://schemas.openxmlformats.org/officeDocument/2006/relationships/hyperlink" Target="https://spse.inaproc.id/ntbprov/" TargetMode="External"/><Relationship Id="rId28" Type="http://schemas.openxmlformats.org/officeDocument/2006/relationships/chart" Target="charts/chart2.xml"/><Relationship Id="rId36" Type="http://schemas.openxmlformats.org/officeDocument/2006/relationships/chart" Target="charts/chart10.xml"/><Relationship Id="rId49" Type="http://schemas.openxmlformats.org/officeDocument/2006/relationships/image" Target="media/image22.png"/><Relationship Id="rId57" Type="http://schemas.openxmlformats.org/officeDocument/2006/relationships/header" Target="header1.xml"/><Relationship Id="rId10" Type="http://schemas.openxmlformats.org/officeDocument/2006/relationships/footnotes" Target="footnotes.xml"/><Relationship Id="rId31" Type="http://schemas.openxmlformats.org/officeDocument/2006/relationships/chart" Target="charts/chart5.xml"/><Relationship Id="rId44" Type="http://schemas.openxmlformats.org/officeDocument/2006/relationships/image" Target="media/image17.png"/><Relationship Id="rId52" Type="http://schemas.openxmlformats.org/officeDocument/2006/relationships/image" Target="media/image25.png"/><Relationship Id="rId60"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30.png"/></Relationships>
</file>

<file path=word/_rels/footer2.xml.rels><?xml version="1.0" encoding="UTF-8" standalone="yes"?>
<Relationships xmlns="http://schemas.openxmlformats.org/package/2006/relationships"><Relationship Id="rId1" Type="http://schemas.openxmlformats.org/officeDocument/2006/relationships/image" Target="media/image31.jpg"/></Relationships>
</file>

<file path=word/charts/_rels/chart1.xml.rels><?xml version="1.0" encoding="UTF-8" standalone="yes"?>
<Relationships xmlns="http://schemas.openxmlformats.org/package/2006/relationships"><Relationship Id="rId3" Type="http://schemas.openxmlformats.org/officeDocument/2006/relationships/oleObject" Target="file:///\\Users\ahmadmuharror\Documents\CoST\2025\ITI%202025\Report\ITI_International_Comparison_CoST_NTB.xlsx" TargetMode="External"/><Relationship Id="rId2" Type="http://schemas.microsoft.com/office/2011/relationships/chartColorStyle" Target="colors1.xml"/><Relationship Id="rId1" Type="http://schemas.microsoft.com/office/2011/relationships/chartStyle" Target="style1.xml"/></Relationships>
</file>

<file path=word/charts/_rels/chart10.xml.rels><?xml version="1.0" encoding="UTF-8" standalone="yes"?>
<Relationships xmlns="http://schemas.openxmlformats.org/package/2006/relationships"><Relationship Id="rId3" Type="http://schemas.openxmlformats.org/officeDocument/2006/relationships/oleObject" Target="file:///D:\KERJA\ITI%20COST\Laporan\Table.xlsx" TargetMode="External"/><Relationship Id="rId2" Type="http://schemas.microsoft.com/office/2011/relationships/chartColorStyle" Target="colors10.xml"/><Relationship Id="rId1" Type="http://schemas.microsoft.com/office/2011/relationships/chartStyle" Target="style10.xml"/></Relationships>
</file>

<file path=word/charts/_rels/chart11.xml.rels><?xml version="1.0" encoding="UTF-8" standalone="yes"?>
<Relationships xmlns="http://schemas.openxmlformats.org/package/2006/relationships"><Relationship Id="rId3" Type="http://schemas.openxmlformats.org/officeDocument/2006/relationships/oleObject" Target="file:///D:\KERJA\ITI%20COST\Laporan\Table.xlsx" TargetMode="External"/><Relationship Id="rId2" Type="http://schemas.microsoft.com/office/2011/relationships/chartColorStyle" Target="colors11.xml"/><Relationship Id="rId1" Type="http://schemas.microsoft.com/office/2011/relationships/chartStyle" Target="style11.xml"/></Relationships>
</file>

<file path=word/charts/_rels/chart2.xml.rels><?xml version="1.0" encoding="UTF-8" standalone="yes"?>
<Relationships xmlns="http://schemas.openxmlformats.org/package/2006/relationships"><Relationship Id="rId3" Type="http://schemas.openxmlformats.org/officeDocument/2006/relationships/oleObject" Target="file:///\\Users\ahmadmuharror\Documents\CoST\2025\ITI%202025\Report\ITI_International_Comparison_CoST_NTB.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Users\ahmadmuharror\Documents\CoST\2025\ITI%202025\Report\ITI_International_Comparison_CoST_NTB.xlsx" TargetMode="External"/><Relationship Id="rId2" Type="http://schemas.microsoft.com/office/2011/relationships/chartColorStyle" Target="colors3.xml"/><Relationship Id="rId1" Type="http://schemas.microsoft.com/office/2011/relationships/chartStyle" Target="style3.xml"/></Relationships>
</file>

<file path=word/charts/_rels/chart4.xml.rels><?xml version="1.0" encoding="UTF-8" standalone="yes"?>
<Relationships xmlns="http://schemas.openxmlformats.org/package/2006/relationships"><Relationship Id="rId3" Type="http://schemas.openxmlformats.org/officeDocument/2006/relationships/oleObject" Target="file:///\\Users\ahmadmuharror\Documents\CoST\2025\ITI%202025\Report\ITI_International_Comparison_CoST_NTB.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Users\ahmadmuharror\Documents\CoST\2025\ITI%202025\Report\ITI_International_Comparison_CoST_NTB.xlsx" TargetMode="External"/><Relationship Id="rId2" Type="http://schemas.microsoft.com/office/2011/relationships/chartColorStyle" Target="colors5.xml"/><Relationship Id="rId1" Type="http://schemas.microsoft.com/office/2011/relationships/chartStyle" Target="style5.xml"/></Relationships>
</file>

<file path=word/charts/_rels/chart6.xml.rels><?xml version="1.0" encoding="UTF-8" standalone="yes"?>
<Relationships xmlns="http://schemas.openxmlformats.org/package/2006/relationships"><Relationship Id="rId3" Type="http://schemas.openxmlformats.org/officeDocument/2006/relationships/oleObject" Target="file:///\\Users\ahmadmuharror\Documents\CoST\2025\ITI%202025\Report\ITI_International_Comparison_CoST_NTB.xlsx" TargetMode="External"/><Relationship Id="rId2" Type="http://schemas.microsoft.com/office/2011/relationships/chartColorStyle" Target="colors6.xml"/><Relationship Id="rId1" Type="http://schemas.microsoft.com/office/2011/relationships/chartStyle" Target="style6.xml"/></Relationships>
</file>

<file path=word/charts/_rels/chart7.xml.rels><?xml version="1.0" encoding="UTF-8" standalone="yes"?>
<Relationships xmlns="http://schemas.openxmlformats.org/package/2006/relationships"><Relationship Id="rId3" Type="http://schemas.openxmlformats.org/officeDocument/2006/relationships/oleObject" Target="file:///D:\KERJA\ITI%20COST\Laporan\Table.xlsx" TargetMode="External"/><Relationship Id="rId2" Type="http://schemas.microsoft.com/office/2011/relationships/chartColorStyle" Target="colors7.xml"/><Relationship Id="rId1" Type="http://schemas.microsoft.com/office/2011/relationships/chartStyle" Target="style7.xml"/></Relationships>
</file>

<file path=word/charts/_rels/chart8.xml.rels><?xml version="1.0" encoding="UTF-8" standalone="yes"?>
<Relationships xmlns="http://schemas.openxmlformats.org/package/2006/relationships"><Relationship Id="rId3" Type="http://schemas.openxmlformats.org/officeDocument/2006/relationships/oleObject" Target="file:///D:\KERJA\ITI%20COST\Laporan\Table.xlsx" TargetMode="External"/><Relationship Id="rId2" Type="http://schemas.microsoft.com/office/2011/relationships/chartColorStyle" Target="colors8.xml"/><Relationship Id="rId1" Type="http://schemas.microsoft.com/office/2011/relationships/chartStyle" Target="style8.xml"/></Relationships>
</file>

<file path=word/charts/_rels/chart9.xml.rels><?xml version="1.0" encoding="UTF-8" standalone="yes"?>
<Relationships xmlns="http://schemas.openxmlformats.org/package/2006/relationships"><Relationship Id="rId3" Type="http://schemas.openxmlformats.org/officeDocument/2006/relationships/oleObject" Target="file:///D:\KERJA\ITI%20COST\Laporan\Table.xlsx" TargetMode="External"/><Relationship Id="rId2" Type="http://schemas.microsoft.com/office/2011/relationships/chartColorStyle" Target="colors9.xml"/><Relationship Id="rId1" Type="http://schemas.microsoft.com/office/2011/relationships/chartStyle" Target="style9.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'National ITI Scores'!$B$1</c:f>
              <c:strCache>
                <c:ptCount val="1"/>
              </c:strCache>
            </c:strRef>
          </c:tx>
          <c:spPr>
            <a:solidFill>
              <a:schemeClr val="accent1"/>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'National ITI Scores'!$A$2:$A$15</c:f>
              <c:strCache>
                <c:ptCount val="14"/>
                <c:pt idx="0">
                  <c:v>Afghanistan 2021</c:v>
                </c:pt>
                <c:pt idx="1">
                  <c:v>Ukraine 2021</c:v>
                </c:pt>
                <c:pt idx="2">
                  <c:v>Honduras 2021</c:v>
                </c:pt>
                <c:pt idx="3">
                  <c:v>Panama 2023</c:v>
                </c:pt>
                <c:pt idx="4">
                  <c:v>Indonesia – West Lombok 2023</c:v>
                </c:pt>
                <c:pt idx="5">
                  <c:v>Ecuador 2024</c:v>
                </c:pt>
                <c:pt idx="6">
                  <c:v>El Salvador 2024</c:v>
                </c:pt>
                <c:pt idx="7">
                  <c:v>Uganda 2024</c:v>
                </c:pt>
                <c:pt idx="8">
                  <c:v>Costa Rica 2025</c:v>
                </c:pt>
                <c:pt idx="9">
                  <c:v>Guatemala 2025</c:v>
                </c:pt>
                <c:pt idx="10">
                  <c:v>Ghana 2025</c:v>
                </c:pt>
                <c:pt idx="11">
                  <c:v>Malawi 2025</c:v>
                </c:pt>
                <c:pt idx="12">
                  <c:v>Indonesia (NTB) 2026</c:v>
                </c:pt>
                <c:pt idx="13">
                  <c:v>International Average</c:v>
                </c:pt>
              </c:strCache>
            </c:strRef>
          </c:cat>
          <c:val>
            <c:numRef>
              <c:f>'National ITI Scores'!$B$2:$B$15</c:f>
              <c:numCache>
                <c:formatCode>General</c:formatCode>
                <c:ptCount val="14"/>
              </c:numCache>
            </c:numRef>
          </c:val>
          <c:extLst>
            <c:ext xmlns:c16="http://schemas.microsoft.com/office/drawing/2014/chart" uri="{C3380CC4-5D6E-409C-BE32-E72D297353CC}">
              <c16:uniqueId val="{00000000-8319-324A-BAEA-7B146EF8724E}"/>
            </c:ext>
          </c:extLst>
        </c:ser>
        <c:ser>
          <c:idx val="1"/>
          <c:order val="1"/>
          <c:tx>
            <c:strRef>
              <c:f>'National ITI Scores'!$C$1</c:f>
              <c:strCache>
                <c:ptCount val="1"/>
                <c:pt idx="0">
                  <c:v>National ITI Score</c:v>
                </c:pt>
              </c:strCache>
            </c:strRef>
          </c:tx>
          <c:spPr>
            <a:solidFill>
              <a:schemeClr val="accent3"/>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'National ITI Scores'!$A$2:$A$15</c:f>
              <c:strCache>
                <c:ptCount val="14"/>
                <c:pt idx="0">
                  <c:v>Afghanistan 2021</c:v>
                </c:pt>
                <c:pt idx="1">
                  <c:v>Ukraine 2021</c:v>
                </c:pt>
                <c:pt idx="2">
                  <c:v>Honduras 2021</c:v>
                </c:pt>
                <c:pt idx="3">
                  <c:v>Panama 2023</c:v>
                </c:pt>
                <c:pt idx="4">
                  <c:v>Indonesia – West Lombok 2023</c:v>
                </c:pt>
                <c:pt idx="5">
                  <c:v>Ecuador 2024</c:v>
                </c:pt>
                <c:pt idx="6">
                  <c:v>El Salvador 2024</c:v>
                </c:pt>
                <c:pt idx="7">
                  <c:v>Uganda 2024</c:v>
                </c:pt>
                <c:pt idx="8">
                  <c:v>Costa Rica 2025</c:v>
                </c:pt>
                <c:pt idx="9">
                  <c:v>Guatemala 2025</c:v>
                </c:pt>
                <c:pt idx="10">
                  <c:v>Ghana 2025</c:v>
                </c:pt>
                <c:pt idx="11">
                  <c:v>Malawi 2025</c:v>
                </c:pt>
                <c:pt idx="12">
                  <c:v>Indonesia (NTB) 2026</c:v>
                </c:pt>
                <c:pt idx="13">
                  <c:v>International Average</c:v>
                </c:pt>
              </c:strCache>
            </c:strRef>
          </c:cat>
          <c:val>
            <c:numRef>
              <c:f>'National ITI Scores'!$C$2:$C$15</c:f>
              <c:numCache>
                <c:formatCode>General</c:formatCode>
                <c:ptCount val="14"/>
                <c:pt idx="0">
                  <c:v>50.08</c:v>
                </c:pt>
                <c:pt idx="1">
                  <c:v>62.18</c:v>
                </c:pt>
                <c:pt idx="2">
                  <c:v>61.82</c:v>
                </c:pt>
                <c:pt idx="3">
                  <c:v>48.06</c:v>
                </c:pt>
                <c:pt idx="4">
                  <c:v>31.4</c:v>
                </c:pt>
                <c:pt idx="5">
                  <c:v>27.65</c:v>
                </c:pt>
                <c:pt idx="6">
                  <c:v>36.770000000000003</c:v>
                </c:pt>
                <c:pt idx="7">
                  <c:v>32.26</c:v>
                </c:pt>
                <c:pt idx="8">
                  <c:v>66.95</c:v>
                </c:pt>
                <c:pt idx="9">
                  <c:v>65.12</c:v>
                </c:pt>
                <c:pt idx="10">
                  <c:v>35.76</c:v>
                </c:pt>
                <c:pt idx="11">
                  <c:v>25.41</c:v>
                </c:pt>
                <c:pt idx="12">
                  <c:v>40.159999999999997</c:v>
                </c:pt>
                <c:pt idx="13">
                  <c:v>42.73</c:v>
                </c:pt>
              </c:numCache>
            </c:numRef>
          </c:val>
          <c:extLst>
            <c:ext xmlns:c16="http://schemas.microsoft.com/office/drawing/2014/chart" uri="{C3380CC4-5D6E-409C-BE32-E72D297353CC}">
              <c16:uniqueId val="{00000001-8319-324A-BAEA-7B146EF8724E}"/>
            </c:ext>
          </c:extLst>
        </c:ser>
        <c:dLbls>
          <c:showLegendKey val="0"/>
          <c:showVal val="1"/>
          <c:showCatName val="0"/>
          <c:showSerName val="0"/>
          <c:showPercent val="0"/>
          <c:showBubbleSize val="0"/>
        </c:dLbls>
        <c:gapWidth val="75"/>
        <c:axId val="547032480"/>
        <c:axId val="1954697552"/>
      </c:barChart>
      <c:catAx>
        <c:axId val="54703248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54697552"/>
        <c:crosses val="autoZero"/>
        <c:auto val="1"/>
        <c:lblAlgn val="ctr"/>
        <c:lblOffset val="100"/>
        <c:noMultiLvlLbl val="0"/>
      </c:catAx>
      <c:valAx>
        <c:axId val="195469755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547032480"/>
        <c:crosses val="autoZero"/>
        <c:crossBetween val="between"/>
      </c:valAx>
      <c:spPr>
        <a:noFill/>
        <a:ln>
          <a:noFill/>
        </a:ln>
        <a:effectLst/>
      </c:spPr>
    </c:plotArea>
    <c:legend>
      <c:legendPos val="b"/>
      <c:legendEntry>
        <c:idx val="0"/>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Chart Average ITI Project Scores by Quartile</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barChart>
        <c:barDir val="col"/>
        <c:grouping val="clustered"/>
        <c:varyColors val="0"/>
        <c:ser>
          <c:idx val="0"/>
          <c:order val="0"/>
          <c:tx>
            <c:strRef>
              <c:f>'Project Scores (32)'!$I$5</c:f>
              <c:strCache>
                <c:ptCount val="1"/>
                <c:pt idx="0">
                  <c:v>Q1</c:v>
                </c:pt>
              </c:strCache>
            </c:strRef>
          </c:tx>
          <c:spPr>
            <a:solidFill>
              <a:srgbClr val="CC3300"/>
            </a:solidFill>
            <a:ln>
              <a:solidFill>
                <a:srgbClr val="CC3300"/>
              </a:solid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'Project Scores (32)'!$J$4</c:f>
              <c:strCache>
                <c:ptCount val="1"/>
                <c:pt idx="0">
                  <c:v>Average Score</c:v>
                </c:pt>
              </c:strCache>
            </c:strRef>
          </c:cat>
          <c:val>
            <c:numRef>
              <c:f>'Project Scores (32)'!$J$5</c:f>
              <c:numCache>
                <c:formatCode>0.00</c:formatCode>
                <c:ptCount val="1"/>
                <c:pt idx="0">
                  <c:v>34.074999999999996</c:v>
                </c:pt>
              </c:numCache>
            </c:numRef>
          </c:val>
          <c:extLst>
            <c:ext xmlns:c16="http://schemas.microsoft.com/office/drawing/2014/chart" uri="{C3380CC4-5D6E-409C-BE32-E72D297353CC}">
              <c16:uniqueId val="{00000000-2E7C-BA41-A39C-4D9FC4AA7CD7}"/>
            </c:ext>
          </c:extLst>
        </c:ser>
        <c:ser>
          <c:idx val="1"/>
          <c:order val="1"/>
          <c:tx>
            <c:strRef>
              <c:f>'Project Scores (32)'!$I$6</c:f>
              <c:strCache>
                <c:ptCount val="1"/>
                <c:pt idx="0">
                  <c:v>Q2</c:v>
                </c:pt>
              </c:strCache>
            </c:strRef>
          </c:tx>
          <c:spPr>
            <a:solidFill>
              <a:schemeClr val="accent2"/>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'Project Scores (32)'!$J$4</c:f>
              <c:strCache>
                <c:ptCount val="1"/>
                <c:pt idx="0">
                  <c:v>Average Score</c:v>
                </c:pt>
              </c:strCache>
            </c:strRef>
          </c:cat>
          <c:val>
            <c:numRef>
              <c:f>'Project Scores (32)'!$J$6</c:f>
              <c:numCache>
                <c:formatCode>0.00</c:formatCode>
                <c:ptCount val="1"/>
                <c:pt idx="0">
                  <c:v>29.512500000000006</c:v>
                </c:pt>
              </c:numCache>
            </c:numRef>
          </c:val>
          <c:extLst>
            <c:ext xmlns:c16="http://schemas.microsoft.com/office/drawing/2014/chart" uri="{C3380CC4-5D6E-409C-BE32-E72D297353CC}">
              <c16:uniqueId val="{00000001-2E7C-BA41-A39C-4D9FC4AA7CD7}"/>
            </c:ext>
          </c:extLst>
        </c:ser>
        <c:ser>
          <c:idx val="2"/>
          <c:order val="2"/>
          <c:tx>
            <c:strRef>
              <c:f>'Project Scores (32)'!$I$7</c:f>
              <c:strCache>
                <c:ptCount val="1"/>
                <c:pt idx="0">
                  <c:v>Q3</c:v>
                </c:pt>
              </c:strCache>
            </c:strRef>
          </c:tx>
          <c:spPr>
            <a:solidFill>
              <a:schemeClr val="accent3"/>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'Project Scores (32)'!$J$4</c:f>
              <c:strCache>
                <c:ptCount val="1"/>
                <c:pt idx="0">
                  <c:v>Average Score</c:v>
                </c:pt>
              </c:strCache>
            </c:strRef>
          </c:cat>
          <c:val>
            <c:numRef>
              <c:f>'Project Scores (32)'!$J$7</c:f>
              <c:numCache>
                <c:formatCode>0.00</c:formatCode>
                <c:ptCount val="1"/>
                <c:pt idx="0">
                  <c:v>28.881250000000001</c:v>
                </c:pt>
              </c:numCache>
            </c:numRef>
          </c:val>
          <c:extLst>
            <c:ext xmlns:c16="http://schemas.microsoft.com/office/drawing/2014/chart" uri="{C3380CC4-5D6E-409C-BE32-E72D297353CC}">
              <c16:uniqueId val="{00000002-2E7C-BA41-A39C-4D9FC4AA7CD7}"/>
            </c:ext>
          </c:extLst>
        </c:ser>
        <c:ser>
          <c:idx val="3"/>
          <c:order val="3"/>
          <c:tx>
            <c:strRef>
              <c:f>'Project Scores (32)'!$I$8</c:f>
              <c:strCache>
                <c:ptCount val="1"/>
                <c:pt idx="0">
                  <c:v>Q4</c:v>
                </c:pt>
              </c:strCache>
            </c:strRef>
          </c:tx>
          <c:spPr>
            <a:solidFill>
              <a:schemeClr val="accent4"/>
            </a:solidFill>
            <a:ln>
              <a:noFill/>
            </a:ln>
            <a:effectLst/>
          </c:spPr>
          <c:invertIfNegative val="0"/>
          <c:dLbls>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'Project Scores (32)'!$J$4</c:f>
              <c:strCache>
                <c:ptCount val="1"/>
                <c:pt idx="0">
                  <c:v>Average Score</c:v>
                </c:pt>
              </c:strCache>
            </c:strRef>
          </c:cat>
          <c:val>
            <c:numRef>
              <c:f>'Project Scores (32)'!$J$8</c:f>
              <c:numCache>
                <c:formatCode>0.00</c:formatCode>
                <c:ptCount val="1"/>
                <c:pt idx="0">
                  <c:v>25.750000000000004</c:v>
                </c:pt>
              </c:numCache>
            </c:numRef>
          </c:val>
          <c:extLst>
            <c:ext xmlns:c16="http://schemas.microsoft.com/office/drawing/2014/chart" uri="{C3380CC4-5D6E-409C-BE32-E72D297353CC}">
              <c16:uniqueId val="{00000003-2E7C-BA41-A39C-4D9FC4AA7CD7}"/>
            </c:ext>
          </c:extLst>
        </c:ser>
        <c:dLbls>
          <c:showLegendKey val="0"/>
          <c:showVal val="0"/>
          <c:showCatName val="0"/>
          <c:showSerName val="0"/>
          <c:showPercent val="0"/>
          <c:showBubbleSize val="0"/>
        </c:dLbls>
        <c:gapWidth val="219"/>
        <c:overlap val="-27"/>
        <c:axId val="1799814512"/>
        <c:axId val="1799805392"/>
      </c:barChart>
      <c:catAx>
        <c:axId val="179981451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Quartile</a:t>
                </a:r>
              </a:p>
            </c:rich>
          </c:tx>
          <c:layout>
            <c:manualLayout>
              <c:xMode val="edge"/>
              <c:yMode val="edge"/>
              <c:x val="0.49935744143093225"/>
              <c:y val="0.91805953109205762"/>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General" sourceLinked="1"/>
        <c:majorTickMark val="none"/>
        <c:minorTickMark val="none"/>
        <c:tickLblPos val="nextTo"/>
        <c:crossAx val="1799805392"/>
        <c:crosses val="autoZero"/>
        <c:auto val="1"/>
        <c:lblAlgn val="ctr"/>
        <c:lblOffset val="100"/>
        <c:noMultiLvlLbl val="0"/>
      </c:catAx>
      <c:valAx>
        <c:axId val="1799805392"/>
        <c:scaling>
          <c:orientation val="minMax"/>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Average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79981451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Arial" panose="020B0604020202020204" pitchFamily="34" charset="0"/>
          <a:cs typeface="Arial" panose="020B0604020202020204" pitchFamily="34" charset="0"/>
        </a:defRPr>
      </a:pPr>
      <a:endParaRPr lang="en-US"/>
    </a:p>
  </c:txPr>
  <c:externalData r:id="rId3">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r>
              <a:rPr lang="en-US"/>
              <a:t>Project</a:t>
            </a:r>
            <a:r>
              <a:rPr lang="en-US" baseline="0"/>
              <a:t> Budget vs ITI Project Score</a:t>
            </a:r>
            <a:endParaRPr lang="en-US"/>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mn-lt"/>
              <a:ea typeface="+mn-ea"/>
              <a:cs typeface="+mn-cs"/>
            </a:defRPr>
          </a:pPr>
          <a:endParaRPr lang="en-US"/>
        </a:p>
      </c:txPr>
    </c:title>
    <c:autoTitleDeleted val="0"/>
    <c:plotArea>
      <c:layout/>
      <c:scatterChart>
        <c:scatterStyle val="lineMarker"/>
        <c:varyColors val="0"/>
        <c:ser>
          <c:idx val="0"/>
          <c:order val="0"/>
          <c:tx>
            <c:v>hhh</c:v>
          </c:tx>
          <c:spPr>
            <a:ln w="25400" cap="rnd">
              <a:noFill/>
              <a:round/>
            </a:ln>
            <a:effectLst/>
          </c:spPr>
          <c:marker>
            <c:symbol val="circle"/>
            <c:size val="5"/>
            <c:spPr>
              <a:solidFill>
                <a:srgbClr val="CC3300"/>
              </a:solidFill>
              <a:ln w="9525">
                <a:solidFill>
                  <a:schemeClr val="accent1"/>
                </a:solidFill>
              </a:ln>
              <a:effectLst/>
            </c:spPr>
          </c:marker>
          <c:xVal>
            <c:numRef>
              <c:f>'Budget vs Project ITI Score'!$G$9:$G$37</c:f>
              <c:numCache>
                <c:formatCode>#,##0</c:formatCode>
                <c:ptCount val="29"/>
                <c:pt idx="0">
                  <c:v>8051901000</c:v>
                </c:pt>
                <c:pt idx="1">
                  <c:v>26964918389</c:v>
                </c:pt>
                <c:pt idx="2">
                  <c:v>434912000</c:v>
                </c:pt>
                <c:pt idx="3">
                  <c:v>1851727000</c:v>
                </c:pt>
                <c:pt idx="4">
                  <c:v>3600000000</c:v>
                </c:pt>
                <c:pt idx="5">
                  <c:v>1700000000</c:v>
                </c:pt>
                <c:pt idx="6">
                  <c:v>2300000000</c:v>
                </c:pt>
                <c:pt idx="7">
                  <c:v>900000000</c:v>
                </c:pt>
                <c:pt idx="8">
                  <c:v>8032879000</c:v>
                </c:pt>
                <c:pt idx="9">
                  <c:v>2900000000</c:v>
                </c:pt>
                <c:pt idx="10">
                  <c:v>24756228000</c:v>
                </c:pt>
                <c:pt idx="11">
                  <c:v>6204682000</c:v>
                </c:pt>
                <c:pt idx="12">
                  <c:v>11385000000</c:v>
                </c:pt>
                <c:pt idx="13">
                  <c:v>688150000</c:v>
                </c:pt>
                <c:pt idx="14">
                  <c:v>77774382000</c:v>
                </c:pt>
                <c:pt idx="15">
                  <c:v>12697561000</c:v>
                </c:pt>
                <c:pt idx="16">
                  <c:v>12000000000</c:v>
                </c:pt>
                <c:pt idx="17">
                  <c:v>3457373440</c:v>
                </c:pt>
                <c:pt idx="18">
                  <c:v>905762000</c:v>
                </c:pt>
                <c:pt idx="19">
                  <c:v>5400000000</c:v>
                </c:pt>
                <c:pt idx="20">
                  <c:v>5300000000</c:v>
                </c:pt>
                <c:pt idx="21">
                  <c:v>14163826000</c:v>
                </c:pt>
                <c:pt idx="22">
                  <c:v>93510999000</c:v>
                </c:pt>
                <c:pt idx="23">
                  <c:v>447629000</c:v>
                </c:pt>
                <c:pt idx="24">
                  <c:v>680065261</c:v>
                </c:pt>
                <c:pt idx="25">
                  <c:v>5700000000</c:v>
                </c:pt>
                <c:pt idx="26">
                  <c:v>35500000000</c:v>
                </c:pt>
                <c:pt idx="27">
                  <c:v>3000000000</c:v>
                </c:pt>
                <c:pt idx="28">
                  <c:v>400658000</c:v>
                </c:pt>
              </c:numCache>
            </c:numRef>
          </c:xVal>
          <c:yVal>
            <c:numRef>
              <c:f>'Budget vs Project ITI Score'!$E$9:$E$37</c:f>
              <c:numCache>
                <c:formatCode>0.00</c:formatCode>
                <c:ptCount val="29"/>
                <c:pt idx="0">
                  <c:v>40.700000000000003</c:v>
                </c:pt>
                <c:pt idx="1">
                  <c:v>35.6</c:v>
                </c:pt>
                <c:pt idx="2">
                  <c:v>35.299999999999997</c:v>
                </c:pt>
                <c:pt idx="3">
                  <c:v>34.1</c:v>
                </c:pt>
                <c:pt idx="4">
                  <c:v>32.299999999999997</c:v>
                </c:pt>
                <c:pt idx="5">
                  <c:v>32.200000000000003</c:v>
                </c:pt>
                <c:pt idx="6">
                  <c:v>31.6</c:v>
                </c:pt>
                <c:pt idx="7">
                  <c:v>30.8</c:v>
                </c:pt>
                <c:pt idx="8">
                  <c:v>29.8</c:v>
                </c:pt>
                <c:pt idx="9">
                  <c:v>29.8</c:v>
                </c:pt>
                <c:pt idx="10">
                  <c:v>29.5</c:v>
                </c:pt>
                <c:pt idx="11">
                  <c:v>29.05</c:v>
                </c:pt>
                <c:pt idx="12">
                  <c:v>29.05</c:v>
                </c:pt>
                <c:pt idx="13">
                  <c:v>29.05</c:v>
                </c:pt>
                <c:pt idx="14">
                  <c:v>29.05</c:v>
                </c:pt>
                <c:pt idx="15">
                  <c:v>29.05</c:v>
                </c:pt>
                <c:pt idx="16">
                  <c:v>29.05</c:v>
                </c:pt>
                <c:pt idx="17">
                  <c:v>29.05</c:v>
                </c:pt>
                <c:pt idx="18">
                  <c:v>29.05</c:v>
                </c:pt>
                <c:pt idx="19">
                  <c:v>28.9</c:v>
                </c:pt>
                <c:pt idx="20">
                  <c:v>28.6</c:v>
                </c:pt>
                <c:pt idx="21">
                  <c:v>28.3</c:v>
                </c:pt>
                <c:pt idx="22">
                  <c:v>28.3</c:v>
                </c:pt>
                <c:pt idx="23">
                  <c:v>27.1</c:v>
                </c:pt>
                <c:pt idx="24">
                  <c:v>26.8</c:v>
                </c:pt>
                <c:pt idx="25">
                  <c:v>25.6</c:v>
                </c:pt>
                <c:pt idx="26">
                  <c:v>25.3</c:v>
                </c:pt>
                <c:pt idx="27">
                  <c:v>25.3</c:v>
                </c:pt>
                <c:pt idx="28">
                  <c:v>24.1</c:v>
                </c:pt>
              </c:numCache>
            </c:numRef>
          </c:yVal>
          <c:smooth val="0"/>
          <c:extLst>
            <c:ext xmlns:c16="http://schemas.microsoft.com/office/drawing/2014/chart" uri="{C3380CC4-5D6E-409C-BE32-E72D297353CC}">
              <c16:uniqueId val="{00000000-74FE-4F5D-94C2-78F370D95EC0}"/>
            </c:ext>
          </c:extLst>
        </c:ser>
        <c:dLbls>
          <c:showLegendKey val="0"/>
          <c:showVal val="0"/>
          <c:showCatName val="0"/>
          <c:showSerName val="0"/>
          <c:showPercent val="0"/>
          <c:showBubbleSize val="0"/>
        </c:dLbls>
        <c:axId val="2100269424"/>
        <c:axId val="2125354832"/>
      </c:scatterChart>
      <c:valAx>
        <c:axId val="2100269424"/>
        <c:scaling>
          <c:orientation val="minMax"/>
        </c:scaling>
        <c:delete val="0"/>
        <c:axPos val="b"/>
        <c:majorGridlines>
          <c:spPr>
            <a:ln w="9525" cap="flat" cmpd="sng" algn="ctr">
              <a:solidFill>
                <a:schemeClr val="tx1">
                  <a:lumMod val="15000"/>
                  <a:lumOff val="85000"/>
                </a:schemeClr>
              </a:solidFill>
              <a:round/>
            </a:ln>
            <a:effectLst/>
          </c:spPr>
        </c:majorGridlines>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Project Budget</a:t>
                </a:r>
              </a:p>
            </c:rich>
          </c:tx>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25354832"/>
        <c:crosses val="autoZero"/>
        <c:crossBetween val="midCat"/>
      </c:valAx>
      <c:valAx>
        <c:axId val="2125354832"/>
        <c:scaling>
          <c:orientation val="minMax"/>
          <c:min val="2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r>
                  <a:rPr lang="en-US"/>
                  <a:t>Project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mn-lt"/>
                  <a:ea typeface="+mn-ea"/>
                  <a:cs typeface="+mn-cs"/>
                </a:defRPr>
              </a:pPr>
              <a:endParaRPr lang="en-US"/>
            </a:p>
          </c:txPr>
        </c:title>
        <c:numFmt formatCode="0.00" sourceLinked="1"/>
        <c:majorTickMark val="none"/>
        <c:minorTickMark val="none"/>
        <c:tickLblPos val="nextTo"/>
        <c:spPr>
          <a:noFill/>
          <a:ln w="9525" cap="flat" cmpd="sng" algn="ctr">
            <a:solidFill>
              <a:schemeClr val="tx1">
                <a:lumMod val="25000"/>
                <a:lumOff val="7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2100269424"/>
        <c:crosses val="autoZero"/>
        <c:crossBetween val="midCat"/>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'ITI Dimension Scores'!$A$2</c:f>
              <c:strCache>
                <c:ptCount val="1"/>
                <c:pt idx="0">
                  <c:v>Enabling environment</c:v>
                </c:pt>
              </c:strCache>
            </c:strRef>
          </c:tx>
          <c:spPr>
            <a:solidFill>
              <a:schemeClr val="accent1"/>
            </a:solidFill>
            <a:ln>
              <a:noFill/>
            </a:ln>
            <a:effectLst/>
          </c:spPr>
          <c:invertIfNegative val="0"/>
          <c:cat>
            <c:strRef>
              <c:f>'ITI Dimension Scores'!$B$1:$O$1</c:f>
              <c:strCache>
                <c:ptCount val="14"/>
                <c:pt idx="0">
                  <c:v>Afghanistan 2021</c:v>
                </c:pt>
                <c:pt idx="1">
                  <c:v>Ukraine 2021</c:v>
                </c:pt>
                <c:pt idx="2">
                  <c:v>Honduras 2021</c:v>
                </c:pt>
                <c:pt idx="3">
                  <c:v>Panama 2023</c:v>
                </c:pt>
                <c:pt idx="4">
                  <c:v>Indonesia – West Lombok 2023</c:v>
                </c:pt>
                <c:pt idx="5">
                  <c:v>Ecuador 2024</c:v>
                </c:pt>
                <c:pt idx="6">
                  <c:v>El Salvador 2024</c:v>
                </c:pt>
                <c:pt idx="7">
                  <c:v>Uganda 2024</c:v>
                </c:pt>
                <c:pt idx="8">
                  <c:v>Costa Rica 2025</c:v>
                </c:pt>
                <c:pt idx="9">
                  <c:v>Guatemala 2025</c:v>
                </c:pt>
                <c:pt idx="10">
                  <c:v>Ghana 2025</c:v>
                </c:pt>
                <c:pt idx="11">
                  <c:v>Malawi 2025</c:v>
                </c:pt>
                <c:pt idx="12">
                  <c:v>Indonesia (NTB) 2026</c:v>
                </c:pt>
                <c:pt idx="13">
                  <c:v>International Average</c:v>
                </c:pt>
              </c:strCache>
            </c:strRef>
          </c:cat>
          <c:val>
            <c:numRef>
              <c:f>'ITI Dimension Scores'!$B$2:$O$2</c:f>
              <c:numCache>
                <c:formatCode>General</c:formatCode>
                <c:ptCount val="14"/>
                <c:pt idx="0">
                  <c:v>79.5</c:v>
                </c:pt>
                <c:pt idx="1">
                  <c:v>70.2</c:v>
                </c:pt>
                <c:pt idx="2">
                  <c:v>79.099999999999994</c:v>
                </c:pt>
                <c:pt idx="3">
                  <c:v>81.599999999999994</c:v>
                </c:pt>
                <c:pt idx="4">
                  <c:v>59.7</c:v>
                </c:pt>
                <c:pt idx="5">
                  <c:v>49.8</c:v>
                </c:pt>
                <c:pt idx="6">
                  <c:v>54.8</c:v>
                </c:pt>
                <c:pt idx="7">
                  <c:v>43.5</c:v>
                </c:pt>
                <c:pt idx="8">
                  <c:v>70.3</c:v>
                </c:pt>
                <c:pt idx="9">
                  <c:v>65.400000000000006</c:v>
                </c:pt>
                <c:pt idx="10">
                  <c:v>60.9</c:v>
                </c:pt>
                <c:pt idx="11">
                  <c:v>78.2</c:v>
                </c:pt>
                <c:pt idx="12">
                  <c:v>56.6</c:v>
                </c:pt>
                <c:pt idx="13">
                  <c:v>60.56</c:v>
                </c:pt>
              </c:numCache>
            </c:numRef>
          </c:val>
          <c:extLst>
            <c:ext xmlns:c16="http://schemas.microsoft.com/office/drawing/2014/chart" uri="{C3380CC4-5D6E-409C-BE32-E72D297353CC}">
              <c16:uniqueId val="{00000000-9774-494D-935E-F84387D8DE86}"/>
            </c:ext>
          </c:extLst>
        </c:ser>
        <c:ser>
          <c:idx val="1"/>
          <c:order val="1"/>
          <c:tx>
            <c:strRef>
              <c:f>'ITI Dimension Scores'!$A$3</c:f>
              <c:strCache>
                <c:ptCount val="1"/>
                <c:pt idx="0">
                  <c:v>Capacities and processes</c:v>
                </c:pt>
              </c:strCache>
            </c:strRef>
          </c:tx>
          <c:spPr>
            <a:solidFill>
              <a:schemeClr val="accent3"/>
            </a:solidFill>
            <a:ln>
              <a:noFill/>
            </a:ln>
            <a:effectLst/>
          </c:spPr>
          <c:invertIfNegative val="0"/>
          <c:cat>
            <c:strRef>
              <c:f>'ITI Dimension Scores'!$B$1:$O$1</c:f>
              <c:strCache>
                <c:ptCount val="14"/>
                <c:pt idx="0">
                  <c:v>Afghanistan 2021</c:v>
                </c:pt>
                <c:pt idx="1">
                  <c:v>Ukraine 2021</c:v>
                </c:pt>
                <c:pt idx="2">
                  <c:v>Honduras 2021</c:v>
                </c:pt>
                <c:pt idx="3">
                  <c:v>Panama 2023</c:v>
                </c:pt>
                <c:pt idx="4">
                  <c:v>Indonesia – West Lombok 2023</c:v>
                </c:pt>
                <c:pt idx="5">
                  <c:v>Ecuador 2024</c:v>
                </c:pt>
                <c:pt idx="6">
                  <c:v>El Salvador 2024</c:v>
                </c:pt>
                <c:pt idx="7">
                  <c:v>Uganda 2024</c:v>
                </c:pt>
                <c:pt idx="8">
                  <c:v>Costa Rica 2025</c:v>
                </c:pt>
                <c:pt idx="9">
                  <c:v>Guatemala 2025</c:v>
                </c:pt>
                <c:pt idx="10">
                  <c:v>Ghana 2025</c:v>
                </c:pt>
                <c:pt idx="11">
                  <c:v>Malawi 2025</c:v>
                </c:pt>
                <c:pt idx="12">
                  <c:v>Indonesia (NTB) 2026</c:v>
                </c:pt>
                <c:pt idx="13">
                  <c:v>International Average</c:v>
                </c:pt>
              </c:strCache>
            </c:strRef>
          </c:cat>
          <c:val>
            <c:numRef>
              <c:f>'ITI Dimension Scores'!$B$3:$O$3</c:f>
              <c:numCache>
                <c:formatCode>General</c:formatCode>
                <c:ptCount val="14"/>
                <c:pt idx="0">
                  <c:v>58.97</c:v>
                </c:pt>
                <c:pt idx="1">
                  <c:v>64.69</c:v>
                </c:pt>
                <c:pt idx="2">
                  <c:v>55.63</c:v>
                </c:pt>
                <c:pt idx="3">
                  <c:v>33.03</c:v>
                </c:pt>
                <c:pt idx="4">
                  <c:v>31.36</c:v>
                </c:pt>
                <c:pt idx="5">
                  <c:v>13.68</c:v>
                </c:pt>
                <c:pt idx="6">
                  <c:v>14.17</c:v>
                </c:pt>
                <c:pt idx="7">
                  <c:v>29.78</c:v>
                </c:pt>
                <c:pt idx="8">
                  <c:v>49.54</c:v>
                </c:pt>
                <c:pt idx="9">
                  <c:v>61.88</c:v>
                </c:pt>
                <c:pt idx="10">
                  <c:v>25.45</c:v>
                </c:pt>
                <c:pt idx="11">
                  <c:v>6.92</c:v>
                </c:pt>
                <c:pt idx="12">
                  <c:v>48.3</c:v>
                </c:pt>
                <c:pt idx="13">
                  <c:v>36.49</c:v>
                </c:pt>
              </c:numCache>
            </c:numRef>
          </c:val>
          <c:extLst>
            <c:ext xmlns:c16="http://schemas.microsoft.com/office/drawing/2014/chart" uri="{C3380CC4-5D6E-409C-BE32-E72D297353CC}">
              <c16:uniqueId val="{00000001-9774-494D-935E-F84387D8DE86}"/>
            </c:ext>
          </c:extLst>
        </c:ser>
        <c:ser>
          <c:idx val="2"/>
          <c:order val="2"/>
          <c:tx>
            <c:strRef>
              <c:f>'ITI Dimension Scores'!$A$4</c:f>
              <c:strCache>
                <c:ptCount val="1"/>
                <c:pt idx="0">
                  <c:v>Citizen participation</c:v>
                </c:pt>
              </c:strCache>
            </c:strRef>
          </c:tx>
          <c:spPr>
            <a:solidFill>
              <a:schemeClr val="accent5"/>
            </a:solidFill>
            <a:ln>
              <a:noFill/>
            </a:ln>
            <a:effectLst/>
          </c:spPr>
          <c:invertIfNegative val="0"/>
          <c:cat>
            <c:strRef>
              <c:f>'ITI Dimension Scores'!$B$1:$O$1</c:f>
              <c:strCache>
                <c:ptCount val="14"/>
                <c:pt idx="0">
                  <c:v>Afghanistan 2021</c:v>
                </c:pt>
                <c:pt idx="1">
                  <c:v>Ukraine 2021</c:v>
                </c:pt>
                <c:pt idx="2">
                  <c:v>Honduras 2021</c:v>
                </c:pt>
                <c:pt idx="3">
                  <c:v>Panama 2023</c:v>
                </c:pt>
                <c:pt idx="4">
                  <c:v>Indonesia – West Lombok 2023</c:v>
                </c:pt>
                <c:pt idx="5">
                  <c:v>Ecuador 2024</c:v>
                </c:pt>
                <c:pt idx="6">
                  <c:v>El Salvador 2024</c:v>
                </c:pt>
                <c:pt idx="7">
                  <c:v>Uganda 2024</c:v>
                </c:pt>
                <c:pt idx="8">
                  <c:v>Costa Rica 2025</c:v>
                </c:pt>
                <c:pt idx="9">
                  <c:v>Guatemala 2025</c:v>
                </c:pt>
                <c:pt idx="10">
                  <c:v>Ghana 2025</c:v>
                </c:pt>
                <c:pt idx="11">
                  <c:v>Malawi 2025</c:v>
                </c:pt>
                <c:pt idx="12">
                  <c:v>Indonesia (NTB) 2026</c:v>
                </c:pt>
                <c:pt idx="13">
                  <c:v>International Average</c:v>
                </c:pt>
              </c:strCache>
            </c:strRef>
          </c:cat>
          <c:val>
            <c:numRef>
              <c:f>'ITI Dimension Scores'!$B$4:$O$4</c:f>
              <c:numCache>
                <c:formatCode>General</c:formatCode>
                <c:ptCount val="14"/>
                <c:pt idx="0">
                  <c:v>61.32</c:v>
                </c:pt>
                <c:pt idx="1">
                  <c:v>56.56</c:v>
                </c:pt>
                <c:pt idx="2">
                  <c:v>55.94</c:v>
                </c:pt>
                <c:pt idx="3">
                  <c:v>22.68</c:v>
                </c:pt>
                <c:pt idx="4">
                  <c:v>10.44</c:v>
                </c:pt>
                <c:pt idx="5">
                  <c:v>13.99</c:v>
                </c:pt>
                <c:pt idx="6">
                  <c:v>11.74</c:v>
                </c:pt>
                <c:pt idx="7">
                  <c:v>33.65</c:v>
                </c:pt>
                <c:pt idx="8">
                  <c:v>47.45</c:v>
                </c:pt>
                <c:pt idx="9">
                  <c:v>55.59</c:v>
                </c:pt>
                <c:pt idx="10">
                  <c:v>26.35</c:v>
                </c:pt>
                <c:pt idx="11">
                  <c:v>3.72</c:v>
                </c:pt>
                <c:pt idx="12">
                  <c:v>31.61</c:v>
                </c:pt>
                <c:pt idx="13">
                  <c:v>32.71</c:v>
                </c:pt>
              </c:numCache>
            </c:numRef>
          </c:val>
          <c:extLst>
            <c:ext xmlns:c16="http://schemas.microsoft.com/office/drawing/2014/chart" uri="{C3380CC4-5D6E-409C-BE32-E72D297353CC}">
              <c16:uniqueId val="{00000002-9774-494D-935E-F84387D8DE86}"/>
            </c:ext>
          </c:extLst>
        </c:ser>
        <c:ser>
          <c:idx val="3"/>
          <c:order val="3"/>
          <c:tx>
            <c:strRef>
              <c:f>'ITI Dimension Scores'!$A$5</c:f>
              <c:strCache>
                <c:ptCount val="1"/>
                <c:pt idx="0">
                  <c:v>Information disclosure</c:v>
                </c:pt>
              </c:strCache>
            </c:strRef>
          </c:tx>
          <c:spPr>
            <a:solidFill>
              <a:schemeClr val="accent1">
                <a:lumMod val="60000"/>
              </a:schemeClr>
            </a:solidFill>
            <a:ln>
              <a:noFill/>
            </a:ln>
            <a:effectLst/>
          </c:spPr>
          <c:invertIfNegative val="0"/>
          <c:cat>
            <c:strRef>
              <c:f>'ITI Dimension Scores'!$B$1:$O$1</c:f>
              <c:strCache>
                <c:ptCount val="14"/>
                <c:pt idx="0">
                  <c:v>Afghanistan 2021</c:v>
                </c:pt>
                <c:pt idx="1">
                  <c:v>Ukraine 2021</c:v>
                </c:pt>
                <c:pt idx="2">
                  <c:v>Honduras 2021</c:v>
                </c:pt>
                <c:pt idx="3">
                  <c:v>Panama 2023</c:v>
                </c:pt>
                <c:pt idx="4">
                  <c:v>Indonesia – West Lombok 2023</c:v>
                </c:pt>
                <c:pt idx="5">
                  <c:v>Ecuador 2024</c:v>
                </c:pt>
                <c:pt idx="6">
                  <c:v>El Salvador 2024</c:v>
                </c:pt>
                <c:pt idx="7">
                  <c:v>Uganda 2024</c:v>
                </c:pt>
                <c:pt idx="8">
                  <c:v>Costa Rica 2025</c:v>
                </c:pt>
                <c:pt idx="9">
                  <c:v>Guatemala 2025</c:v>
                </c:pt>
                <c:pt idx="10">
                  <c:v>Ghana 2025</c:v>
                </c:pt>
                <c:pt idx="11">
                  <c:v>Malawi 2025</c:v>
                </c:pt>
                <c:pt idx="12">
                  <c:v>Indonesia (NTB) 2026</c:v>
                </c:pt>
                <c:pt idx="13">
                  <c:v>International Average</c:v>
                </c:pt>
              </c:strCache>
            </c:strRef>
          </c:cat>
          <c:val>
            <c:numRef>
              <c:f>'ITI Dimension Scores'!$B$5:$O$5</c:f>
              <c:numCache>
                <c:formatCode>General</c:formatCode>
                <c:ptCount val="14"/>
                <c:pt idx="0">
                  <c:v>20.5</c:v>
                </c:pt>
                <c:pt idx="1">
                  <c:v>59.03</c:v>
                </c:pt>
                <c:pt idx="2">
                  <c:v>59.71</c:v>
                </c:pt>
                <c:pt idx="3">
                  <c:v>54.14</c:v>
                </c:pt>
                <c:pt idx="4">
                  <c:v>27.24</c:v>
                </c:pt>
                <c:pt idx="5">
                  <c:v>32.79</c:v>
                </c:pt>
                <c:pt idx="6">
                  <c:v>56.9</c:v>
                </c:pt>
                <c:pt idx="7">
                  <c:v>26.81</c:v>
                </c:pt>
                <c:pt idx="8">
                  <c:v>88.61</c:v>
                </c:pt>
                <c:pt idx="9">
                  <c:v>72.709999999999994</c:v>
                </c:pt>
                <c:pt idx="10">
                  <c:v>34.14</c:v>
                </c:pt>
                <c:pt idx="11">
                  <c:v>20.85</c:v>
                </c:pt>
                <c:pt idx="12">
                  <c:v>29.83</c:v>
                </c:pt>
                <c:pt idx="13">
                  <c:v>42.73</c:v>
                </c:pt>
              </c:numCache>
            </c:numRef>
          </c:val>
          <c:extLst>
            <c:ext xmlns:c16="http://schemas.microsoft.com/office/drawing/2014/chart" uri="{C3380CC4-5D6E-409C-BE32-E72D297353CC}">
              <c16:uniqueId val="{00000003-9774-494D-935E-F84387D8DE86}"/>
            </c:ext>
          </c:extLst>
        </c:ser>
        <c:dLbls>
          <c:showLegendKey val="0"/>
          <c:showVal val="0"/>
          <c:showCatName val="0"/>
          <c:showSerName val="0"/>
          <c:showPercent val="0"/>
          <c:showBubbleSize val="0"/>
        </c:dLbls>
        <c:gapWidth val="150"/>
        <c:axId val="705900720"/>
        <c:axId val="1232401472"/>
      </c:barChart>
      <c:catAx>
        <c:axId val="705900720"/>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232401472"/>
        <c:crosses val="autoZero"/>
        <c:auto val="1"/>
        <c:lblAlgn val="ctr"/>
        <c:lblOffset val="100"/>
        <c:noMultiLvlLbl val="0"/>
      </c:catAx>
      <c:valAx>
        <c:axId val="123240147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705900720"/>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clustered"/>
        <c:varyColors val="0"/>
        <c:ser>
          <c:idx val="0"/>
          <c:order val="0"/>
          <c:spPr>
            <a:solidFill>
              <a:schemeClr val="accent2"/>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1">
                        <a:lumMod val="75000"/>
                        <a:lumOff val="25000"/>
                      </a:schemeClr>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'Dim1'!$C$27:$C$30</c:f>
              <c:strCache>
                <c:ptCount val="4"/>
                <c:pt idx="0">
                  <c:v>Dimension 1: Enabling environment</c:v>
                </c:pt>
                <c:pt idx="1">
                  <c:v>Access to public information regulatory framework</c:v>
                </c:pt>
                <c:pt idx="2">
                  <c:v>Transparency standards in the public infrastructure sector</c:v>
                </c:pt>
                <c:pt idx="3">
                  <c:v>National digital information tools</c:v>
                </c:pt>
              </c:strCache>
            </c:strRef>
          </c:cat>
          <c:val>
            <c:numRef>
              <c:f>'Dim1'!$D$27:$D$30</c:f>
              <c:numCache>
                <c:formatCode>0</c:formatCode>
                <c:ptCount val="4"/>
                <c:pt idx="0" formatCode="General">
                  <c:v>56.6</c:v>
                </c:pt>
                <c:pt idx="1">
                  <c:v>80</c:v>
                </c:pt>
                <c:pt idx="2">
                  <c:v>44</c:v>
                </c:pt>
                <c:pt idx="3" formatCode="General">
                  <c:v>50</c:v>
                </c:pt>
              </c:numCache>
            </c:numRef>
          </c:val>
          <c:extLst>
            <c:ext xmlns:c16="http://schemas.microsoft.com/office/drawing/2014/chart" uri="{C3380CC4-5D6E-409C-BE32-E72D297353CC}">
              <c16:uniqueId val="{00000000-E213-2F41-9770-78F3AA0B052C}"/>
            </c:ext>
          </c:extLst>
        </c:ser>
        <c:dLbls>
          <c:showLegendKey val="0"/>
          <c:showVal val="0"/>
          <c:showCatName val="0"/>
          <c:showSerName val="0"/>
          <c:showPercent val="0"/>
          <c:showBubbleSize val="0"/>
        </c:dLbls>
        <c:gapWidth val="182"/>
        <c:axId val="1901043168"/>
        <c:axId val="166308607"/>
      </c:barChart>
      <c:catAx>
        <c:axId val="190104316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66308607"/>
        <c:crosses val="autoZero"/>
        <c:auto val="1"/>
        <c:lblAlgn val="ctr"/>
        <c:lblOffset val="100"/>
        <c:noMultiLvlLbl val="0"/>
      </c:catAx>
      <c:valAx>
        <c:axId val="166308607"/>
        <c:scaling>
          <c:orientation val="minMax"/>
        </c:scaling>
        <c:delete val="0"/>
        <c:axPos val="b"/>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crossAx val="1901043168"/>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pPr>
      <a:endParaRPr lang="en-US"/>
    </a:p>
  </c:txPr>
  <c:externalData r:id="rId3">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'Dim2'!$G$6:$G$11</c:f>
              <c:strCache>
                <c:ptCount val="6"/>
                <c:pt idx="0">
                  <c:v>Basic knowledge</c:v>
                </c:pt>
                <c:pt idx="1">
                  <c:v>Digital capacities</c:v>
                </c:pt>
                <c:pt idx="2">
                  <c:v>Procedures to disclose information</c:v>
                </c:pt>
                <c:pt idx="3">
                  <c:v>Enablers and barriers to disclose information</c:v>
                </c:pt>
                <c:pt idx="4">
                  <c:v>Control over infrastructure projects disclosure</c:v>
                </c:pt>
                <c:pt idx="5">
                  <c:v>Dimension 2: Capacities and Processes</c:v>
                </c:pt>
              </c:strCache>
            </c:strRef>
          </c:cat>
          <c:val>
            <c:numRef>
              <c:f>'Dim2'!$H$6:$H$11</c:f>
              <c:numCache>
                <c:formatCode>0.00</c:formatCode>
                <c:ptCount val="6"/>
                <c:pt idx="0">
                  <c:v>47.157894736842103</c:v>
                </c:pt>
                <c:pt idx="1">
                  <c:v>68.421052631578945</c:v>
                </c:pt>
                <c:pt idx="2">
                  <c:v>61.684210526315788</c:v>
                </c:pt>
                <c:pt idx="3">
                  <c:v>28</c:v>
                </c:pt>
                <c:pt idx="4">
                  <c:v>35.263157894736842</c:v>
                </c:pt>
                <c:pt idx="5">
                  <c:v>48.3</c:v>
                </c:pt>
              </c:numCache>
            </c:numRef>
          </c:val>
          <c:extLst>
            <c:ext xmlns:c16="http://schemas.microsoft.com/office/drawing/2014/chart" uri="{C3380CC4-5D6E-409C-BE32-E72D297353CC}">
              <c16:uniqueId val="{00000000-80BE-EE48-A6EC-A7B6FCDEB7EE}"/>
            </c:ext>
          </c:extLst>
        </c:ser>
        <c:dLbls>
          <c:dLblPos val="inEnd"/>
          <c:showLegendKey val="0"/>
          <c:showVal val="1"/>
          <c:showCatName val="0"/>
          <c:showSerName val="0"/>
          <c:showPercent val="0"/>
          <c:showBubbleSize val="0"/>
        </c:dLbls>
        <c:gapWidth val="100"/>
        <c:axId val="452391664"/>
        <c:axId val="616622560"/>
      </c:barChart>
      <c:catAx>
        <c:axId val="452391664"/>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16622560"/>
        <c:crosses val="autoZero"/>
        <c:auto val="1"/>
        <c:lblAlgn val="ctr"/>
        <c:lblOffset val="100"/>
        <c:noMultiLvlLbl val="0"/>
      </c:catAx>
      <c:valAx>
        <c:axId val="616622560"/>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52391664"/>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'Dim3'!$H$6:$H$8</c:f>
              <c:strCache>
                <c:ptCount val="3"/>
                <c:pt idx="0">
                  <c:v>Participation opportunities</c:v>
                </c:pt>
                <c:pt idx="1">
                  <c:v>Use of information by citizens</c:v>
                </c:pt>
                <c:pt idx="2">
                  <c:v>Dimension 3: Citizen Participation</c:v>
                </c:pt>
              </c:strCache>
            </c:strRef>
          </c:cat>
          <c:val>
            <c:numRef>
              <c:f>'Dim3'!$I$6:$I$8</c:f>
              <c:numCache>
                <c:formatCode>0.00</c:formatCode>
                <c:ptCount val="3"/>
                <c:pt idx="0">
                  <c:v>40.842105263157897</c:v>
                </c:pt>
                <c:pt idx="1">
                  <c:v>24.05263157894737</c:v>
                </c:pt>
                <c:pt idx="2">
                  <c:v>31.61</c:v>
                </c:pt>
              </c:numCache>
            </c:numRef>
          </c:val>
          <c:extLst>
            <c:ext xmlns:c16="http://schemas.microsoft.com/office/drawing/2014/chart" uri="{C3380CC4-5D6E-409C-BE32-E72D297353CC}">
              <c16:uniqueId val="{00000000-97B0-1F4D-BD25-E5C114BA60AF}"/>
            </c:ext>
          </c:extLst>
        </c:ser>
        <c:dLbls>
          <c:dLblPos val="inEnd"/>
          <c:showLegendKey val="0"/>
          <c:showVal val="1"/>
          <c:showCatName val="0"/>
          <c:showSerName val="0"/>
          <c:showPercent val="0"/>
          <c:showBubbleSize val="0"/>
        </c:dLbls>
        <c:gapWidth val="100"/>
        <c:axId val="663429632"/>
        <c:axId val="663431344"/>
      </c:barChart>
      <c:catAx>
        <c:axId val="663429632"/>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63431344"/>
        <c:crosses val="autoZero"/>
        <c:auto val="1"/>
        <c:lblAlgn val="ctr"/>
        <c:lblOffset val="100"/>
        <c:noMultiLvlLbl val="0"/>
      </c:catAx>
      <c:valAx>
        <c:axId val="663431344"/>
        <c:scaling>
          <c:orientation val="minMax"/>
        </c:scaling>
        <c:delete val="0"/>
        <c:axPos val="b"/>
        <c:majorGridlines>
          <c:spPr>
            <a:ln w="9525" cap="flat" cmpd="sng" algn="ctr">
              <a:solidFill>
                <a:schemeClr val="tx2">
                  <a:lumMod val="15000"/>
                  <a:lumOff val="85000"/>
                </a:schemeClr>
              </a:solidFill>
              <a:round/>
            </a:ln>
            <a:effectLst/>
          </c:spPr>
        </c:majorGridlines>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6634296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accent1"/>
      </a:solidFill>
      <a:round/>
    </a:ln>
    <a:effectLst/>
  </c:spPr>
  <c:txPr>
    <a:bodyPr/>
    <a:lstStyle/>
    <a:p>
      <a:pPr>
        <a:defRPr/>
      </a:pPr>
      <a:endParaRPr lang="en-US"/>
    </a:p>
  </c:txPr>
  <c:externalData r:id="rId3">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4"/>
    </mc:Choice>
    <mc:Fallback>
      <c:style val="4"/>
    </mc:Fallback>
  </mc:AlternateContent>
  <c:chart>
    <c:autoTitleDeleted val="1"/>
    <c:plotArea>
      <c:layout/>
      <c:barChart>
        <c:barDir val="bar"/>
        <c:grouping val="clustered"/>
        <c:varyColors val="0"/>
        <c:ser>
          <c:idx val="0"/>
          <c:order val="0"/>
          <c:spPr>
            <a:gradFill rotWithShape="1">
              <a:gsLst>
                <a:gs pos="0">
                  <a:schemeClr val="accent2">
                    <a:shade val="51000"/>
                    <a:satMod val="130000"/>
                  </a:schemeClr>
                </a:gs>
                <a:gs pos="80000">
                  <a:schemeClr val="accent2">
                    <a:shade val="93000"/>
                    <a:satMod val="130000"/>
                  </a:schemeClr>
                </a:gs>
                <a:gs pos="100000">
                  <a:schemeClr val="accent2">
                    <a:shade val="94000"/>
                    <a:satMod val="135000"/>
                  </a:schemeClr>
                </a:gs>
              </a:gsLst>
              <a:lin ang="16200000" scaled="0"/>
            </a:gradFill>
            <a:ln>
              <a:noFill/>
            </a:ln>
            <a:effectLst>
              <a:outerShdw blurRad="40000" dist="23000" dir="5400000" rotWithShape="0">
                <a:srgbClr val="000000">
                  <a:alpha val="35000"/>
                </a:srgbClr>
              </a:outerShdw>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900" b="0" i="0" u="none" strike="noStrike" kern="1200" baseline="0">
                    <a:solidFill>
                      <a:schemeClr val="tx2"/>
                    </a:solidFill>
                    <a:latin typeface="+mn-lt"/>
                    <a:ea typeface="+mn-ea"/>
                    <a:cs typeface="+mn-cs"/>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a:solidFill>
                        <a:schemeClr val="tx2">
                          <a:lumMod val="35000"/>
                          <a:lumOff val="65000"/>
                        </a:schemeClr>
                      </a:solidFill>
                    </a:ln>
                    <a:effectLst/>
                  </c:spPr>
                </c15:leaderLines>
              </c:ext>
            </c:extLst>
          </c:dLbls>
          <c:cat>
            <c:strRef>
              <c:f>'Dim4'!$G$7:$G$13</c:f>
              <c:strCache>
                <c:ptCount val="7"/>
                <c:pt idx="0">
                  <c:v>Project identification</c:v>
                </c:pt>
                <c:pt idx="1">
                  <c:v>Project preparation</c:v>
                </c:pt>
                <c:pt idx="2">
                  <c:v>Execution contract procurement</c:v>
                </c:pt>
                <c:pt idx="3">
                  <c:v>Supervision contract procurement</c:v>
                </c:pt>
                <c:pt idx="4">
                  <c:v>Execution contract implementation</c:v>
                </c:pt>
                <c:pt idx="5">
                  <c:v>Supervision contract implementation</c:v>
                </c:pt>
                <c:pt idx="6">
                  <c:v>Dimension 4: Information Disclosure</c:v>
                </c:pt>
              </c:strCache>
            </c:strRef>
          </c:cat>
          <c:val>
            <c:numRef>
              <c:f>'Dim4'!$H$7:$H$13</c:f>
              <c:numCache>
                <c:formatCode>0.00</c:formatCode>
                <c:ptCount val="7"/>
                <c:pt idx="0">
                  <c:v>51.271929824561404</c:v>
                </c:pt>
                <c:pt idx="1">
                  <c:v>29.17543859649123</c:v>
                </c:pt>
                <c:pt idx="2">
                  <c:v>67.754385964912274</c:v>
                </c:pt>
                <c:pt idx="3">
                  <c:v>0</c:v>
                </c:pt>
                <c:pt idx="4">
                  <c:v>0</c:v>
                </c:pt>
                <c:pt idx="5">
                  <c:v>0</c:v>
                </c:pt>
                <c:pt idx="6">
                  <c:v>29.83</c:v>
                </c:pt>
              </c:numCache>
            </c:numRef>
          </c:val>
          <c:extLst>
            <c:ext xmlns:c16="http://schemas.microsoft.com/office/drawing/2014/chart" uri="{C3380CC4-5D6E-409C-BE32-E72D297353CC}">
              <c16:uniqueId val="{00000000-B8C5-0F48-B4EE-178337681B75}"/>
            </c:ext>
          </c:extLst>
        </c:ser>
        <c:dLbls>
          <c:dLblPos val="outEnd"/>
          <c:showLegendKey val="0"/>
          <c:showVal val="1"/>
          <c:showCatName val="0"/>
          <c:showSerName val="0"/>
          <c:showPercent val="0"/>
          <c:showBubbleSize val="0"/>
        </c:dLbls>
        <c:gapWidth val="75"/>
        <c:axId val="2026264896"/>
        <c:axId val="451998352"/>
      </c:barChart>
      <c:catAx>
        <c:axId val="2026264896"/>
        <c:scaling>
          <c:orientation val="minMax"/>
        </c:scaling>
        <c:delete val="0"/>
        <c:axPos val="l"/>
        <c:numFmt formatCode="General" sourceLinked="1"/>
        <c:majorTickMark val="none"/>
        <c:minorTickMark val="none"/>
        <c:tickLblPos val="nextTo"/>
        <c:spPr>
          <a:noFill/>
          <a:ln w="9525" cap="flat" cmpd="sng" algn="ctr">
            <a:solidFill>
              <a:schemeClr val="tx2">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451998352"/>
        <c:crosses val="autoZero"/>
        <c:auto val="1"/>
        <c:lblAlgn val="ctr"/>
        <c:lblOffset val="100"/>
        <c:noMultiLvlLbl val="0"/>
      </c:catAx>
      <c:valAx>
        <c:axId val="451998352"/>
        <c:scaling>
          <c:orientation val="minMax"/>
        </c:scaling>
        <c:delete val="0"/>
        <c:axPos val="b"/>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2"/>
                </a:solidFill>
                <a:latin typeface="+mn-lt"/>
                <a:ea typeface="+mn-ea"/>
                <a:cs typeface="+mn-cs"/>
              </a:defRPr>
            </a:pPr>
            <a:endParaRPr lang="en-US"/>
          </a:p>
        </c:txPr>
        <c:crossAx val="2026264896"/>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2">
          <a:lumMod val="15000"/>
          <a:lumOff val="85000"/>
        </a:schemeClr>
      </a:solidFill>
      <a:round/>
    </a:ln>
    <a:effectLst/>
  </c:spPr>
  <c:txPr>
    <a:bodyPr/>
    <a:lstStyle/>
    <a:p>
      <a:pPr>
        <a:defRPr/>
      </a:pPr>
      <a:endParaRPr lang="en-US"/>
    </a:p>
  </c:txPr>
  <c:externalData r:id="rId3">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Average ITI Score by Budget Category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barChart>
        <c:barDir val="col"/>
        <c:grouping val="clustered"/>
        <c:varyColors val="0"/>
        <c:ser>
          <c:idx val="0"/>
          <c:order val="0"/>
          <c:tx>
            <c:strRef>
              <c:f>Sheet3!$B$4</c:f>
              <c:strCache>
                <c:ptCount val="1"/>
                <c:pt idx="0">
                  <c:v>Low        </c:v>
                </c:pt>
              </c:strCache>
            </c:strRef>
          </c:tx>
          <c:spPr>
            <a:solidFill>
              <a:srgbClr val="CC3300"/>
            </a:solidFill>
            <a:ln>
              <a:solidFill>
                <a:srgbClr val="CC3300"/>
              </a:solidFill>
            </a:ln>
            <a:effectLst/>
          </c:spPr>
          <c:invertIfNegative val="0"/>
          <c:dLbls>
            <c:dLbl>
              <c:idx val="0"/>
              <c:layout>
                <c:manualLayout>
                  <c:x val="1.3886488373955198E-3"/>
                  <c:y val="2.5468898535866036E-2"/>
                </c:manualLayout>
              </c:layout>
              <c:showLegendKey val="0"/>
              <c:showVal val="1"/>
              <c:showCatName val="0"/>
              <c:showSerName val="1"/>
              <c:showPercent val="0"/>
              <c:showBubbleSize val="0"/>
              <c:extLst>
                <c:ext xmlns:c15="http://schemas.microsoft.com/office/drawing/2012/chart" uri="{CE6537A1-D6FC-4f65-9D91-7224C49458BB}">
                  <c15:layout>
                    <c:manualLayout>
                      <c:w val="0.10137160979877516"/>
                      <c:h val="0.17401520109824201"/>
                    </c:manualLayout>
                  </c15:layout>
                </c:ext>
                <c:ext xmlns:c16="http://schemas.microsoft.com/office/drawing/2014/chart" uri="{C3380CC4-5D6E-409C-BE32-E72D297353CC}">
                  <c16:uniqueId val="{00000000-040E-46F7-A312-2869CDFE5D0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Sheet3!$C$3</c:f>
              <c:strCache>
                <c:ptCount val="1"/>
                <c:pt idx="0">
                  <c:v>Average ITI Score</c:v>
                </c:pt>
              </c:strCache>
            </c:strRef>
          </c:cat>
          <c:val>
            <c:numRef>
              <c:f>Sheet3!$C$4</c:f>
              <c:numCache>
                <c:formatCode>General</c:formatCode>
                <c:ptCount val="1"/>
                <c:pt idx="0">
                  <c:v>32.450000000000003</c:v>
                </c:pt>
              </c:numCache>
            </c:numRef>
          </c:val>
          <c:extLst>
            <c:ext xmlns:c16="http://schemas.microsoft.com/office/drawing/2014/chart" uri="{C3380CC4-5D6E-409C-BE32-E72D297353CC}">
              <c16:uniqueId val="{00000001-040E-46F7-A312-2869CDFE5D05}"/>
            </c:ext>
          </c:extLst>
        </c:ser>
        <c:ser>
          <c:idx val="1"/>
          <c:order val="1"/>
          <c:tx>
            <c:strRef>
              <c:f>Sheet3!$B$5</c:f>
              <c:strCache>
                <c:ptCount val="1"/>
                <c:pt idx="0">
                  <c:v>Medium     </c:v>
                </c:pt>
              </c:strCache>
            </c:strRef>
          </c:tx>
          <c:spPr>
            <a:solidFill>
              <a:schemeClr val="accent2"/>
            </a:solidFill>
            <a:ln>
              <a:noFill/>
            </a:ln>
            <a:effectLst/>
          </c:spPr>
          <c:invertIfNegative val="0"/>
          <c:dLbls>
            <c:dLbl>
              <c:idx val="0"/>
              <c:layout>
                <c:manualLayout>
                  <c:x val="-5.690967313314431E-6"/>
                  <c:y val="5.0858706384909837E-2"/>
                </c:manualLayout>
              </c:layout>
              <c:showLegendKey val="0"/>
              <c:showVal val="1"/>
              <c:showCatName val="0"/>
              <c:showSerName val="1"/>
              <c:showPercent val="0"/>
              <c:showBubbleSize val="0"/>
              <c:separator> </c:separator>
              <c:extLst>
                <c:ext xmlns:c15="http://schemas.microsoft.com/office/drawing/2012/chart" uri="{CE6537A1-D6FC-4f65-9D91-7224C49458BB}">
                  <c15:layout>
                    <c:manualLayout>
                      <c:w val="0.13715726159230096"/>
                      <c:h val="0.21555441712411558"/>
                    </c:manualLayout>
                  </c15:layout>
                </c:ext>
                <c:ext xmlns:c16="http://schemas.microsoft.com/office/drawing/2014/chart" uri="{C3380CC4-5D6E-409C-BE32-E72D297353CC}">
                  <c16:uniqueId val="{00000002-040E-46F7-A312-2869CDFE5D0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Sheet3!$C$3</c:f>
              <c:strCache>
                <c:ptCount val="1"/>
                <c:pt idx="0">
                  <c:v>Average ITI Score</c:v>
                </c:pt>
              </c:strCache>
            </c:strRef>
          </c:cat>
          <c:val>
            <c:numRef>
              <c:f>Sheet3!$C$5</c:f>
              <c:numCache>
                <c:formatCode>General</c:formatCode>
                <c:ptCount val="1"/>
                <c:pt idx="0">
                  <c:v>45.37</c:v>
                </c:pt>
              </c:numCache>
            </c:numRef>
          </c:val>
          <c:extLst>
            <c:ext xmlns:c16="http://schemas.microsoft.com/office/drawing/2014/chart" uri="{C3380CC4-5D6E-409C-BE32-E72D297353CC}">
              <c16:uniqueId val="{00000003-040E-46F7-A312-2869CDFE5D05}"/>
            </c:ext>
          </c:extLst>
        </c:ser>
        <c:ser>
          <c:idx val="2"/>
          <c:order val="2"/>
          <c:tx>
            <c:strRef>
              <c:f>Sheet3!$B$6</c:f>
              <c:strCache>
                <c:ptCount val="1"/>
                <c:pt idx="0">
                  <c:v>High       </c:v>
                </c:pt>
              </c:strCache>
            </c:strRef>
          </c:tx>
          <c:spPr>
            <a:solidFill>
              <a:schemeClr val="accent3"/>
            </a:solidFill>
            <a:ln>
              <a:noFill/>
            </a:ln>
            <a:effectLst/>
          </c:spPr>
          <c:invertIfNegative val="0"/>
          <c:dLbls>
            <c:dLbl>
              <c:idx val="0"/>
              <c:layout>
                <c:manualLayout>
                  <c:x val="4.1660661930086719E-3"/>
                  <c:y val="1.3690478757120128E-2"/>
                </c:manualLayout>
              </c:layout>
              <c:showLegendKey val="0"/>
              <c:showVal val="1"/>
              <c:showCatName val="0"/>
              <c:showSerName val="1"/>
              <c:showPercent val="0"/>
              <c:showBubbleSize val="0"/>
              <c:extLst>
                <c:ext xmlns:c15="http://schemas.microsoft.com/office/drawing/2012/chart" uri="{CE6537A1-D6FC-4f65-9D91-7224C49458BB}">
                  <c15:layout>
                    <c:manualLayout>
                      <c:w val="0.10827332788223527"/>
                      <c:h val="0.15958534737883029"/>
                    </c:manualLayout>
                  </c15:layout>
                </c:ext>
                <c:ext xmlns:c16="http://schemas.microsoft.com/office/drawing/2014/chart" uri="{C3380CC4-5D6E-409C-BE32-E72D297353CC}">
                  <c16:uniqueId val="{00000004-040E-46F7-A312-2869CDFE5D05}"/>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Sheet3!$C$3</c:f>
              <c:strCache>
                <c:ptCount val="1"/>
                <c:pt idx="0">
                  <c:v>Average ITI Score</c:v>
                </c:pt>
              </c:strCache>
            </c:strRef>
          </c:cat>
          <c:val>
            <c:numRef>
              <c:f>Sheet3!$C$6</c:f>
              <c:numCache>
                <c:formatCode>General</c:formatCode>
                <c:ptCount val="1"/>
                <c:pt idx="0">
                  <c:v>36.68</c:v>
                </c:pt>
              </c:numCache>
            </c:numRef>
          </c:val>
          <c:extLst>
            <c:ext xmlns:c16="http://schemas.microsoft.com/office/drawing/2014/chart" uri="{C3380CC4-5D6E-409C-BE32-E72D297353CC}">
              <c16:uniqueId val="{00000005-040E-46F7-A312-2869CDFE5D05}"/>
            </c:ext>
          </c:extLst>
        </c:ser>
        <c:dLbls>
          <c:showLegendKey val="0"/>
          <c:showVal val="0"/>
          <c:showCatName val="0"/>
          <c:showSerName val="0"/>
          <c:showPercent val="0"/>
          <c:showBubbleSize val="0"/>
        </c:dLbls>
        <c:gapWidth val="219"/>
        <c:overlap val="-27"/>
        <c:axId val="1905559232"/>
        <c:axId val="1905584672"/>
      </c:barChart>
      <c:catAx>
        <c:axId val="190555923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Budget Category</a:t>
                </a:r>
              </a:p>
            </c:rich>
          </c:tx>
          <c:layout>
            <c:manualLayout>
              <c:xMode val="edge"/>
              <c:yMode val="edge"/>
              <c:x val="0.44593963254593183"/>
              <c:y val="0.885249967372037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crossAx val="1905584672"/>
        <c:crosses val="autoZero"/>
        <c:auto val="1"/>
        <c:lblAlgn val="ctr"/>
        <c:lblOffset val="100"/>
        <c:noMultiLvlLbl val="0"/>
      </c:catAx>
      <c:valAx>
        <c:axId val="190558467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Average ITI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19055592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Average ITI Score by Type Category</a:t>
            </a:r>
          </a:p>
        </c:rich>
      </c:tx>
      <c:overlay val="0"/>
      <c:spPr>
        <a:noFill/>
        <a:ln>
          <a:noFill/>
        </a:ln>
        <a:effectLst/>
      </c:spPr>
      <c:txPr>
        <a:bodyPr rot="0" spcFirstLastPara="1" vertOverflow="ellipsis" vert="horz" wrap="square" anchor="ctr" anchorCtr="1"/>
        <a:lstStyle/>
        <a:p>
          <a:pPr>
            <a:defRPr sz="1400" b="0" i="0" u="none" strike="noStrike" kern="1200" spc="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autoTitleDeleted val="0"/>
    <c:plotArea>
      <c:layout/>
      <c:barChart>
        <c:barDir val="col"/>
        <c:grouping val="clustered"/>
        <c:varyColors val="0"/>
        <c:ser>
          <c:idx val="0"/>
          <c:order val="0"/>
          <c:tx>
            <c:strRef>
              <c:f>Type!$H$5</c:f>
              <c:strCache>
                <c:ptCount val="1"/>
                <c:pt idx="0">
                  <c:v>Revenue and Financial Agencies</c:v>
                </c:pt>
              </c:strCache>
            </c:strRef>
          </c:tx>
          <c:spPr>
            <a:solidFill>
              <a:srgbClr val="CC3300"/>
            </a:solidFill>
            <a:ln>
              <a:solidFill>
                <a:srgbClr val="CC3300"/>
              </a:solidFill>
            </a:ln>
            <a:effectLst/>
          </c:spPr>
          <c:invertIfNegative val="0"/>
          <c:dLbls>
            <c:dLbl>
              <c:idx val="0"/>
              <c:layout>
                <c:manualLayout>
                  <c:x val="9.5166348874505652E-8"/>
                  <c:y val="1.8888894259746793E-2"/>
                </c:manualLayout>
              </c:layout>
              <c:tx>
                <c:rich>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r>
                      <a:rPr lang="en-US"/>
                      <a:t>Revenue and FInancial</a:t>
                    </a:r>
                    <a:r>
                      <a:rPr lang="en-US" baseline="0"/>
                      <a:t> Agencies; </a:t>
                    </a:r>
                    <a:fld id="{D08DF5AF-9F5F-441E-B97E-24DEB678BE98}" type="VALUE">
                      <a:rPr lang="en-US" baseline="0"/>
                      <a:pPr>
                        <a:defRPr sz="800"/>
                      </a:pPr>
                      <a:t>[VALUE]</a:t>
                    </a:fld>
                    <a:endParaRPr lang="en-US" baseline="0"/>
                  </a:p>
                </c:rich>
              </c:tx>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showLegendKey val="0"/>
              <c:showVal val="1"/>
              <c:showCatName val="1"/>
              <c:showSerName val="0"/>
              <c:showPercent val="0"/>
              <c:showBubbleSize val="0"/>
              <c:extLst>
                <c:ext xmlns:c15="http://schemas.microsoft.com/office/drawing/2012/chart" uri="{CE6537A1-D6FC-4f65-9D91-7224C49458BB}">
                  <c15:layout>
                    <c:manualLayout>
                      <c:w val="0.15383335763247438"/>
                      <c:h val="0.28660476215795949"/>
                    </c:manualLayout>
                  </c15:layout>
                  <c15:dlblFieldTable/>
                  <c15:showDataLabelsRange val="0"/>
                </c:ext>
                <c:ext xmlns:c16="http://schemas.microsoft.com/office/drawing/2014/chart" uri="{C3380CC4-5D6E-409C-BE32-E72D297353CC}">
                  <c16:uniqueId val="{00000000-E43F-497D-B399-DB2141438F1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Type!$I$4</c:f>
              <c:strCache>
                <c:ptCount val="1"/>
                <c:pt idx="0">
                  <c:v>Average of ITI Score</c:v>
                </c:pt>
              </c:strCache>
            </c:strRef>
          </c:cat>
          <c:val>
            <c:numRef>
              <c:f>Type!$I$5</c:f>
              <c:numCache>
                <c:formatCode>0.00</c:formatCode>
                <c:ptCount val="1"/>
                <c:pt idx="0">
                  <c:v>42.38</c:v>
                </c:pt>
              </c:numCache>
            </c:numRef>
          </c:val>
          <c:extLst>
            <c:ext xmlns:c16="http://schemas.microsoft.com/office/drawing/2014/chart" uri="{C3380CC4-5D6E-409C-BE32-E72D297353CC}">
              <c16:uniqueId val="{00000001-E43F-497D-B399-DB2141438F10}"/>
            </c:ext>
          </c:extLst>
        </c:ser>
        <c:ser>
          <c:idx val="1"/>
          <c:order val="1"/>
          <c:tx>
            <c:strRef>
              <c:f>Type!$H$6</c:f>
              <c:strCache>
                <c:ptCount val="1"/>
                <c:pt idx="0">
                  <c:v>Local Government Agencies (Dinas)</c:v>
                </c:pt>
              </c:strCache>
            </c:strRef>
          </c:tx>
          <c:spPr>
            <a:solidFill>
              <a:schemeClr val="accent2"/>
            </a:solidFill>
            <a:ln>
              <a:noFill/>
            </a:ln>
            <a:effectLst/>
          </c:spPr>
          <c:invertIfNegative val="0"/>
          <c:dLbls>
            <c:dLbl>
              <c:idx val="0"/>
              <c:layout>
                <c:manualLayout>
                  <c:x val="-2.2009706405536102E-3"/>
                  <c:y val="1.2133540409279475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13590471371558671"/>
                      <c:h val="0.26606373479347417"/>
                    </c:manualLayout>
                  </c15:layout>
                </c:ext>
                <c:ext xmlns:c16="http://schemas.microsoft.com/office/drawing/2014/chart" uri="{C3380CC4-5D6E-409C-BE32-E72D297353CC}">
                  <c16:uniqueId val="{00000002-E43F-497D-B399-DB2141438F1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Type!$I$4</c:f>
              <c:strCache>
                <c:ptCount val="1"/>
                <c:pt idx="0">
                  <c:v>Average of ITI Score</c:v>
                </c:pt>
              </c:strCache>
            </c:strRef>
          </c:cat>
          <c:val>
            <c:numRef>
              <c:f>Type!$I$6</c:f>
              <c:numCache>
                <c:formatCode>0.00</c:formatCode>
                <c:ptCount val="1"/>
                <c:pt idx="0">
                  <c:v>36.675384615384615</c:v>
                </c:pt>
              </c:numCache>
            </c:numRef>
          </c:val>
          <c:extLst>
            <c:ext xmlns:c16="http://schemas.microsoft.com/office/drawing/2014/chart" uri="{C3380CC4-5D6E-409C-BE32-E72D297353CC}">
              <c16:uniqueId val="{00000003-E43F-497D-B399-DB2141438F10}"/>
            </c:ext>
          </c:extLst>
        </c:ser>
        <c:ser>
          <c:idx val="2"/>
          <c:order val="2"/>
          <c:tx>
            <c:strRef>
              <c:f>Type!$H$7</c:f>
              <c:strCache>
                <c:ptCount val="1"/>
                <c:pt idx="0">
                  <c:v>Public Hospitals</c:v>
                </c:pt>
              </c:strCache>
            </c:strRef>
          </c:tx>
          <c:spPr>
            <a:solidFill>
              <a:schemeClr val="accent3"/>
            </a:solidFill>
            <a:ln>
              <a:noFill/>
            </a:ln>
            <a:effectLst/>
          </c:spPr>
          <c:invertIfNegative val="0"/>
          <c:dLbls>
            <c:dLbl>
              <c:idx val="0"/>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14986796620757151"/>
                      <c:h val="0.16360162132154582"/>
                    </c:manualLayout>
                  </c15:layout>
                </c:ext>
                <c:ext xmlns:c16="http://schemas.microsoft.com/office/drawing/2014/chart" uri="{C3380CC4-5D6E-409C-BE32-E72D297353CC}">
                  <c16:uniqueId val="{00000004-E43F-497D-B399-DB2141438F1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showLegendKey val="0"/>
            <c:showVal val="0"/>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Type!$I$4</c:f>
              <c:strCache>
                <c:ptCount val="1"/>
                <c:pt idx="0">
                  <c:v>Average of ITI Score</c:v>
                </c:pt>
              </c:strCache>
            </c:strRef>
          </c:cat>
          <c:val>
            <c:numRef>
              <c:f>Type!$I$7</c:f>
              <c:numCache>
                <c:formatCode>0.00</c:formatCode>
                <c:ptCount val="1"/>
                <c:pt idx="0">
                  <c:v>38.770000000000003</c:v>
                </c:pt>
              </c:numCache>
            </c:numRef>
          </c:val>
          <c:extLst>
            <c:ext xmlns:c16="http://schemas.microsoft.com/office/drawing/2014/chart" uri="{C3380CC4-5D6E-409C-BE32-E72D297353CC}">
              <c16:uniqueId val="{00000005-E43F-497D-B399-DB2141438F10}"/>
            </c:ext>
          </c:extLst>
        </c:ser>
        <c:ser>
          <c:idx val="3"/>
          <c:order val="3"/>
          <c:tx>
            <c:strRef>
              <c:f>Type!$H$8</c:f>
              <c:strCache>
                <c:ptCount val="1"/>
                <c:pt idx="0">
                  <c:v>Legislative Institutions</c:v>
                </c:pt>
              </c:strCache>
            </c:strRef>
          </c:tx>
          <c:spPr>
            <a:solidFill>
              <a:schemeClr val="accent4"/>
            </a:solidFill>
            <a:ln>
              <a:noFill/>
            </a:ln>
            <a:effectLst/>
          </c:spPr>
          <c:invertIfNegative val="0"/>
          <c:dLbls>
            <c:dLbl>
              <c:idx val="0"/>
              <c:layout>
                <c:manualLayout>
                  <c:x val="2.2205837365371316E-3"/>
                  <c:y val="3.5372763474325261E-2"/>
                </c:manualLayout>
              </c:layout>
              <c:spPr>
                <a:noFill/>
                <a:ln>
                  <a:noFill/>
                </a:ln>
                <a:effectLst/>
              </c:spPr>
              <c:txPr>
                <a:bodyPr rot="0" spcFirstLastPara="1" vertOverflow="ellipsis" vert="horz" wrap="square" lIns="38100" tIns="19050" rIns="38100" bIns="19050" anchor="ctr" anchorCtr="1">
                  <a:no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1"/>
              <c:showPercent val="0"/>
              <c:showBubbleSize val="0"/>
              <c:extLst>
                <c:ext xmlns:c15="http://schemas.microsoft.com/office/drawing/2012/chart" uri="{CE6537A1-D6FC-4f65-9D91-7224C49458BB}">
                  <c15:layout>
                    <c:manualLayout>
                      <c:w val="0.12002722518908601"/>
                      <c:h val="0.20943582070572334"/>
                    </c:manualLayout>
                  </c15:layout>
                </c:ext>
                <c:ext xmlns:c16="http://schemas.microsoft.com/office/drawing/2014/chart" uri="{C3380CC4-5D6E-409C-BE32-E72D297353CC}">
                  <c16:uniqueId val="{00000006-E43F-497D-B399-DB2141438F10}"/>
                </c:ext>
              </c:extLst>
            </c:dLbl>
            <c:spPr>
              <a:noFill/>
              <a:ln>
                <a:noFill/>
              </a:ln>
              <a:effectLst/>
            </c:spPr>
            <c:txPr>
              <a:bodyPr rot="0" spcFirstLastPara="1" vertOverflow="ellipsis" vert="horz" wrap="square" lIns="38100" tIns="19050" rIns="38100" bIns="19050" anchor="ctr" anchorCtr="1">
                <a:spAutoFit/>
              </a:bodyPr>
              <a:lstStyle/>
              <a:p>
                <a:pPr>
                  <a:defRPr sz="800" b="0" i="0" u="none" strike="noStrike" kern="1200" baseline="0">
                    <a:solidFill>
                      <a:schemeClr val="tx1">
                        <a:lumMod val="75000"/>
                        <a:lumOff val="25000"/>
                      </a:schemeClr>
                    </a:solidFill>
                    <a:latin typeface="Segoe UI" panose="020B0502040204020203" pitchFamily="34" charset="0"/>
                    <a:ea typeface="+mn-ea"/>
                    <a:cs typeface="Segoe UI" panose="020B0502040204020203" pitchFamily="34" charset="0"/>
                  </a:defRPr>
                </a:pPr>
                <a:endParaRPr lang="en-US"/>
              </a:p>
            </c:txPr>
            <c:showLegendKey val="0"/>
            <c:showVal val="1"/>
            <c:showCatName val="0"/>
            <c:showSerName val="1"/>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Type!$I$4</c:f>
              <c:strCache>
                <c:ptCount val="1"/>
                <c:pt idx="0">
                  <c:v>Average of ITI Score</c:v>
                </c:pt>
              </c:strCache>
            </c:strRef>
          </c:cat>
          <c:val>
            <c:numRef>
              <c:f>Type!$I$8</c:f>
              <c:numCache>
                <c:formatCode>0.00</c:formatCode>
                <c:ptCount val="1"/>
                <c:pt idx="0">
                  <c:v>23.78</c:v>
                </c:pt>
              </c:numCache>
            </c:numRef>
          </c:val>
          <c:extLst>
            <c:ext xmlns:c16="http://schemas.microsoft.com/office/drawing/2014/chart" uri="{C3380CC4-5D6E-409C-BE32-E72D297353CC}">
              <c16:uniqueId val="{00000007-E43F-497D-B399-DB2141438F10}"/>
            </c:ext>
          </c:extLst>
        </c:ser>
        <c:dLbls>
          <c:showLegendKey val="0"/>
          <c:showVal val="0"/>
          <c:showCatName val="0"/>
          <c:showSerName val="0"/>
          <c:showPercent val="0"/>
          <c:showBubbleSize val="0"/>
        </c:dLbls>
        <c:gapWidth val="219"/>
        <c:overlap val="-27"/>
        <c:axId val="1905559232"/>
        <c:axId val="1905584672"/>
      </c:barChart>
      <c:catAx>
        <c:axId val="1905559232"/>
        <c:scaling>
          <c:orientation val="minMax"/>
        </c:scaling>
        <c:delete val="1"/>
        <c:axPos val="b"/>
        <c:title>
          <c:tx>
            <c:rich>
              <a:bodyPr rot="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Type Category</a:t>
                </a:r>
              </a:p>
            </c:rich>
          </c:tx>
          <c:layout>
            <c:manualLayout>
              <c:xMode val="edge"/>
              <c:yMode val="edge"/>
              <c:x val="0.44593963254593183"/>
              <c:y val="0.88524996737203798"/>
            </c:manualLayout>
          </c:layout>
          <c:overlay val="0"/>
          <c:spPr>
            <a:noFill/>
            <a:ln>
              <a:noFill/>
            </a:ln>
            <a:effectLst/>
          </c:spPr>
          <c:txPr>
            <a:bodyPr rot="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General" sourceLinked="1"/>
        <c:majorTickMark val="none"/>
        <c:minorTickMark val="none"/>
        <c:tickLblPos val="nextTo"/>
        <c:crossAx val="1905584672"/>
        <c:crosses val="autoZero"/>
        <c:auto val="1"/>
        <c:lblAlgn val="ctr"/>
        <c:lblOffset val="100"/>
        <c:noMultiLvlLbl val="0"/>
      </c:catAx>
      <c:valAx>
        <c:axId val="190558467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r>
                  <a:rPr lang="en-US"/>
                  <a:t>Average ITI Score</a:t>
                </a:r>
              </a:p>
            </c:rich>
          </c:tx>
          <c:overlay val="0"/>
          <c:spPr>
            <a:noFill/>
            <a:ln>
              <a:noFill/>
            </a:ln>
            <a:effectLst/>
          </c:spPr>
          <c:txPr>
            <a:bodyPr rot="-5400000" spcFirstLastPara="1" vertOverflow="ellipsis" vert="horz" wrap="square" anchor="ctr" anchorCtr="1"/>
            <a:lstStyle/>
            <a:p>
              <a:pPr>
                <a:defRPr sz="10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Segoe UI" panose="020B0502040204020203" pitchFamily="34" charset="0"/>
                <a:ea typeface="+mn-ea"/>
                <a:cs typeface="Segoe UI" panose="020B0502040204020203" pitchFamily="34" charset="0"/>
              </a:defRPr>
            </a:pPr>
            <a:endParaRPr lang="en-US"/>
          </a:p>
        </c:txPr>
        <c:crossAx val="1905559232"/>
        <c:crosses val="autoZero"/>
        <c:crossBetween val="between"/>
      </c:valAx>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a:latin typeface="Segoe UI" panose="020B0502040204020203" pitchFamily="34" charset="0"/>
          <a:cs typeface="Segoe UI" panose="020B0502040204020203" pitchFamily="34" charset="0"/>
        </a:defRPr>
      </a:pPr>
      <a:endParaRPr lang="en-US"/>
    </a:p>
  </c:txPr>
  <c:externalData r:id="rId3">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Average ITI Score by Sector Category</a:t>
            </a:r>
          </a:p>
        </c:rich>
      </c:tx>
      <c:overlay val="0"/>
      <c:spPr>
        <a:noFill/>
        <a:ln>
          <a:noFill/>
        </a:ln>
        <a:effectLst/>
      </c:spPr>
      <c:txPr>
        <a:bodyPr rot="0" spcFirstLastPara="1" vertOverflow="ellipsis" vert="horz" wrap="square" anchor="ctr" anchorCtr="1"/>
        <a:lstStyle/>
        <a:p>
          <a:pPr>
            <a:defRPr sz="1080" b="0" i="0" u="none" strike="noStrike" kern="1200" spc="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autoTitleDeleted val="0"/>
    <c:plotArea>
      <c:layout>
        <c:manualLayout>
          <c:layoutTarget val="inner"/>
          <c:xMode val="edge"/>
          <c:yMode val="edge"/>
          <c:x val="0.14586895341001277"/>
          <c:y val="0.17751187184881628"/>
          <c:w val="0.79507623829098029"/>
          <c:h val="0.69700718300688835"/>
        </c:manualLayout>
      </c:layout>
      <c:barChart>
        <c:barDir val="col"/>
        <c:grouping val="clustered"/>
        <c:varyColors val="0"/>
        <c:ser>
          <c:idx val="0"/>
          <c:order val="0"/>
          <c:tx>
            <c:strRef>
              <c:f>Sector!$J$4</c:f>
              <c:strCache>
                <c:ptCount val="1"/>
                <c:pt idx="0">
                  <c:v>Average of ITI Score</c:v>
                </c:pt>
              </c:strCache>
            </c:strRef>
          </c:tx>
          <c:spPr>
            <a:solidFill>
              <a:srgbClr val="CC3300"/>
            </a:solidFill>
            <a:ln>
              <a:solidFill>
                <a:srgbClr val="CC3300"/>
              </a:solidFill>
            </a:ln>
            <a:effectLst/>
          </c:spPr>
          <c:invertIfNegative val="0"/>
          <c:dLbls>
            <c:dLbl>
              <c:idx val="0"/>
              <c:tx>
                <c:rich>
                  <a:bodyPr/>
                  <a:lstStyle/>
                  <a:p>
                    <a:fld id="{DA205206-25E3-45BA-8AB4-012349D7B847}" type="CATEGORYNAME">
                      <a:rPr lang="en-US" sz="800"/>
                      <a:pPr/>
                      <a:t>[CATEGORY NAME]</a:t>
                    </a:fld>
                    <a:endParaRPr lang="en-US"/>
                  </a:p>
                </c:rich>
              </c:tx>
              <c:dLblPos val="outEnd"/>
              <c:showLegendKey val="0"/>
              <c:showVal val="0"/>
              <c:showCatName val="0"/>
              <c:showSerName val="1"/>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0-50E5-4AB5-8366-967623950C20}"/>
                </c:ext>
              </c:extLst>
            </c:dLbl>
            <c:dLbl>
              <c:idx val="1"/>
              <c:tx>
                <c:rich>
                  <a:bodyPr/>
                  <a:lstStyle/>
                  <a:p>
                    <a:fld id="{A5853DA0-CFA6-473D-BFB0-2F3B4F5242DA}" type="CATEGORYNAME">
                      <a:rPr lang="en-US" sz="800"/>
                      <a:pPr/>
                      <a:t>[CATEGORY NAME]</a:t>
                    </a:fld>
                    <a:endParaRPr lang="en-US"/>
                  </a:p>
                </c:rich>
              </c:tx>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1-50E5-4AB5-8366-967623950C20}"/>
                </c:ext>
              </c:extLst>
            </c:dLbl>
            <c:dLbl>
              <c:idx val="2"/>
              <c:tx>
                <c:rich>
                  <a:bodyPr/>
                  <a:lstStyle/>
                  <a:p>
                    <a:fld id="{A2351D34-701E-49AD-996F-16D1E9F2F290}" type="CATEGORYNAME">
                      <a:rPr lang="en-US" sz="800"/>
                      <a:pPr/>
                      <a:t>[CATEGORY NAME]</a:t>
                    </a:fld>
                    <a:endParaRPr lang="en-US"/>
                  </a:p>
                </c:rich>
              </c:tx>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2-50E5-4AB5-8366-967623950C20}"/>
                </c:ext>
              </c:extLst>
            </c:dLbl>
            <c:dLbl>
              <c:idx val="3"/>
              <c:tx>
                <c:rich>
                  <a:bodyPr/>
                  <a:lstStyle/>
                  <a:p>
                    <a:fld id="{24F1A750-FC2A-483A-9212-A15E74580E03}" type="CATEGORYNAME">
                      <a:rPr lang="en-US" sz="800"/>
                      <a:pPr/>
                      <a:t>[CATEGORY NAME]</a:t>
                    </a:fld>
                    <a:endParaRPr lang="en-US"/>
                  </a:p>
                </c:rich>
              </c:tx>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3-50E5-4AB5-8366-967623950C20}"/>
                </c:ext>
              </c:extLst>
            </c:dLbl>
            <c:dLbl>
              <c:idx val="4"/>
              <c:tx>
                <c:rich>
                  <a:bodyPr/>
                  <a:lstStyle/>
                  <a:p>
                    <a:fld id="{E938FAF4-DC18-4D54-9C00-35A5939AD1AA}" type="CATEGORYNAME">
                      <a:rPr lang="en-US" sz="800"/>
                      <a:pPr/>
                      <a:t>[CATEGORY NAME]</a:t>
                    </a:fld>
                    <a:endParaRPr lang="en-US"/>
                  </a:p>
                </c:rich>
              </c:tx>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4-50E5-4AB5-8366-967623950C20}"/>
                </c:ext>
              </c:extLst>
            </c:dLbl>
            <c:dLbl>
              <c:idx val="5"/>
              <c:tx>
                <c:rich>
                  <a:bodyPr/>
                  <a:lstStyle/>
                  <a:p>
                    <a:fld id="{715B7F83-3117-421D-8DCC-B0E8A415C5AE}" type="CATEGORYNAME">
                      <a:rPr lang="en-US" sz="800"/>
                      <a:pPr/>
                      <a:t>[CATEGORY NAME]</a:t>
                    </a:fld>
                    <a:endParaRPr lang="en-US"/>
                  </a:p>
                </c:rich>
              </c:tx>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5-50E5-4AB5-8366-967623950C20}"/>
                </c:ext>
              </c:extLst>
            </c:dLbl>
            <c:dLbl>
              <c:idx val="6"/>
              <c:tx>
                <c:rich>
                  <a:bodyPr/>
                  <a:lstStyle/>
                  <a:p>
                    <a:fld id="{62CD031F-8E35-4F65-BD6B-0D2F42127A57}" type="CATEGORYNAME">
                      <a:rPr lang="en-US" sz="800"/>
                      <a:pPr/>
                      <a:t>[CATEGORY NAME]</a:t>
                    </a:fld>
                    <a:endParaRPr lang="en-US"/>
                  </a:p>
                </c:rich>
              </c:tx>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6-50E5-4AB5-8366-967623950C20}"/>
                </c:ext>
              </c:extLst>
            </c:dLbl>
            <c:dLbl>
              <c:idx val="7"/>
              <c:tx>
                <c:rich>
                  <a:bodyPr/>
                  <a:lstStyle/>
                  <a:p>
                    <a:fld id="{0BB9CBB2-F7C3-489A-A2FB-BBB57D4BD680}" type="CATEGORYNAME">
                      <a:rPr lang="en-US" sz="800"/>
                      <a:pPr/>
                      <a:t>[CATEGORY NAME]</a:t>
                    </a:fld>
                    <a:endParaRPr lang="en-US"/>
                  </a:p>
                </c:rich>
              </c:tx>
              <c:dLblPos val="outEnd"/>
              <c:showLegendKey val="0"/>
              <c:showVal val="0"/>
              <c:showCatName val="1"/>
              <c:showSerName val="0"/>
              <c:showPercent val="0"/>
              <c:showBubbleSize val="0"/>
              <c:extLst>
                <c:ext xmlns:c15="http://schemas.microsoft.com/office/drawing/2012/chart" uri="{CE6537A1-D6FC-4f65-9D91-7224C49458BB}">
                  <c15:dlblFieldTable/>
                  <c15:showDataLabelsRange val="0"/>
                </c:ext>
                <c:ext xmlns:c16="http://schemas.microsoft.com/office/drawing/2014/chart" uri="{C3380CC4-5D6E-409C-BE32-E72D297353CC}">
                  <c16:uniqueId val="{00000007-50E5-4AB5-8366-967623950C20}"/>
                </c:ext>
              </c:extLst>
            </c:dLbl>
            <c:spPr>
              <a:noFill/>
              <a:ln>
                <a:noFill/>
              </a:ln>
              <a:effectLst/>
            </c:spPr>
            <c:txPr>
              <a:bodyPr rot="0" spcFirstLastPara="1" vertOverflow="ellipsis" vert="horz" wrap="square" anchor="ctr" anchorCtr="1"/>
              <a:lstStyle/>
              <a:p>
                <a:pPr>
                  <a:defRPr sz="900" b="0" i="0" u="none" strike="noStrike" kern="1200" baseline="0">
                    <a:solidFill>
                      <a:schemeClr val="tx1">
                        <a:lumMod val="75000"/>
                        <a:lumOff val="25000"/>
                      </a:schemeClr>
                    </a:solidFill>
                    <a:latin typeface="Arial" panose="020B0604020202020204" pitchFamily="34" charset="0"/>
                    <a:ea typeface="+mn-ea"/>
                    <a:cs typeface="Arial" panose="020B0604020202020204" pitchFamily="34" charset="0"/>
                  </a:defRPr>
                </a:pPr>
                <a:endParaRPr lang="en-US"/>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1"/>
                <c15:leaderLines>
                  <c:spPr>
                    <a:ln w="9525" cap="flat" cmpd="sng" algn="ctr">
                      <a:solidFill>
                        <a:schemeClr val="tx1">
                          <a:lumMod val="35000"/>
                          <a:lumOff val="65000"/>
                        </a:schemeClr>
                      </a:solidFill>
                      <a:round/>
                    </a:ln>
                    <a:effectLst/>
                  </c:spPr>
                </c15:leaderLines>
              </c:ext>
            </c:extLst>
          </c:dLbls>
          <c:cat>
            <c:strRef>
              <c:f>Sector!$I$5:$I$12</c:f>
              <c:strCache>
                <c:ptCount val="8"/>
                <c:pt idx="0">
                  <c:v>Education</c:v>
                </c:pt>
                <c:pt idx="1">
                  <c:v>Water and Waste</c:v>
                </c:pt>
                <c:pt idx="2">
                  <c:v>Transport</c:v>
                </c:pt>
                <c:pt idx="3">
                  <c:v>Housing</c:v>
                </c:pt>
                <c:pt idx="4">
                  <c:v>Governance</c:v>
                </c:pt>
                <c:pt idx="5">
                  <c:v>Economy</c:v>
                </c:pt>
                <c:pt idx="6">
                  <c:v>Health</c:v>
                </c:pt>
                <c:pt idx="7">
                  <c:v>Culture, Sports and Recreation</c:v>
                </c:pt>
              </c:strCache>
            </c:strRef>
          </c:cat>
          <c:val>
            <c:numRef>
              <c:f>Sector!$J$5:$J$12</c:f>
              <c:numCache>
                <c:formatCode>0.00</c:formatCode>
                <c:ptCount val="8"/>
                <c:pt idx="0">
                  <c:v>46.900000000000006</c:v>
                </c:pt>
                <c:pt idx="1">
                  <c:v>36.200000000000003</c:v>
                </c:pt>
                <c:pt idx="2">
                  <c:v>24.68</c:v>
                </c:pt>
                <c:pt idx="3">
                  <c:v>57.02</c:v>
                </c:pt>
                <c:pt idx="4">
                  <c:v>39.99</c:v>
                </c:pt>
                <c:pt idx="5">
                  <c:v>33.936666666666667</c:v>
                </c:pt>
                <c:pt idx="6">
                  <c:v>31.119999999999997</c:v>
                </c:pt>
                <c:pt idx="7">
                  <c:v>39.590000000000003</c:v>
                </c:pt>
              </c:numCache>
            </c:numRef>
          </c:val>
          <c:extLst>
            <c:ext xmlns:c16="http://schemas.microsoft.com/office/drawing/2014/chart" uri="{C3380CC4-5D6E-409C-BE32-E72D297353CC}">
              <c16:uniqueId val="{00000008-50E5-4AB5-8366-967623950C20}"/>
            </c:ext>
          </c:extLst>
        </c:ser>
        <c:dLbls>
          <c:showLegendKey val="0"/>
          <c:showVal val="0"/>
          <c:showCatName val="0"/>
          <c:showSerName val="0"/>
          <c:showPercent val="0"/>
          <c:showBubbleSize val="0"/>
        </c:dLbls>
        <c:gapWidth val="219"/>
        <c:overlap val="-27"/>
        <c:axId val="1905559232"/>
        <c:axId val="1905584672"/>
      </c:barChart>
      <c:catAx>
        <c:axId val="1905559232"/>
        <c:scaling>
          <c:orientation val="minMax"/>
        </c:scaling>
        <c:delete val="1"/>
        <c:axPos val="b"/>
        <c:numFmt formatCode="General" sourceLinked="1"/>
        <c:majorTickMark val="none"/>
        <c:minorTickMark val="none"/>
        <c:tickLblPos val="nextTo"/>
        <c:crossAx val="1905584672"/>
        <c:crosses val="autoZero"/>
        <c:auto val="1"/>
        <c:lblAlgn val="ctr"/>
        <c:lblOffset val="100"/>
        <c:noMultiLvlLbl val="0"/>
      </c:catAx>
      <c:valAx>
        <c:axId val="1905584672"/>
        <c:scaling>
          <c:orientation val="minMax"/>
          <c:max val="100"/>
        </c:scaling>
        <c:delete val="0"/>
        <c:axPos val="l"/>
        <c:majorGridlines>
          <c:spPr>
            <a:ln w="9525" cap="flat" cmpd="sng" algn="ctr">
              <a:solidFill>
                <a:schemeClr val="tx1">
                  <a:lumMod val="15000"/>
                  <a:lumOff val="85000"/>
                </a:schemeClr>
              </a:solidFill>
              <a:round/>
            </a:ln>
            <a:effectLst/>
          </c:spPr>
        </c:majorGridlines>
        <c:title>
          <c:tx>
            <c:rich>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r>
                  <a:rPr lang="en-US"/>
                  <a:t>Average ITI Score</a:t>
                </a:r>
              </a:p>
            </c:rich>
          </c:tx>
          <c:overlay val="0"/>
          <c:spPr>
            <a:noFill/>
            <a:ln>
              <a:noFill/>
            </a:ln>
            <a:effectLst/>
          </c:spPr>
          <c:txPr>
            <a:bodyPr rot="-54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title>
        <c:numFmt formatCode="0.0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crossAx val="1905559232"/>
        <c:crosses val="autoZero"/>
        <c:crossBetween val="between"/>
      </c:valAx>
      <c:dTable>
        <c:showHorzBorder val="1"/>
        <c:showVertBorder val="1"/>
        <c:showOutline val="1"/>
        <c:showKeys val="1"/>
        <c:spPr>
          <a:noFill/>
          <a:ln w="9525" cap="flat" cmpd="sng" algn="ctr">
            <a:solidFill>
              <a:schemeClr val="tx1">
                <a:lumMod val="15000"/>
                <a:lumOff val="85000"/>
              </a:schemeClr>
            </a:solidFill>
            <a:round/>
          </a:ln>
          <a:effectLst/>
        </c:spPr>
        <c:txPr>
          <a:bodyPr rot="0" spcFirstLastPara="1" vertOverflow="ellipsis" vert="horz" wrap="square" anchor="ctr" anchorCtr="1"/>
          <a:lstStyle/>
          <a:p>
            <a:pPr rtl="0">
              <a:defRPr sz="700" b="0" i="0" u="none" strike="noStrike" kern="1200" baseline="0">
                <a:solidFill>
                  <a:schemeClr val="tx1">
                    <a:lumMod val="65000"/>
                    <a:lumOff val="35000"/>
                  </a:schemeClr>
                </a:solidFill>
                <a:latin typeface="Arial" panose="020B0604020202020204" pitchFamily="34" charset="0"/>
                <a:ea typeface="+mn-ea"/>
                <a:cs typeface="Arial" panose="020B0604020202020204" pitchFamily="34" charset="0"/>
              </a:defRPr>
            </a:pPr>
            <a:endParaRPr lang="en-US"/>
          </a:p>
        </c:txPr>
      </c:dTable>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solidFill>
      <a:schemeClr val="bg1"/>
    </a:solidFill>
    <a:ln w="9525" cap="flat" cmpd="sng" algn="ctr">
      <a:solidFill>
        <a:schemeClr val="tx1">
          <a:lumMod val="15000"/>
          <a:lumOff val="85000"/>
        </a:schemeClr>
      </a:solidFill>
      <a:round/>
    </a:ln>
    <a:effectLst/>
  </c:spPr>
  <c:txPr>
    <a:bodyPr/>
    <a:lstStyle/>
    <a:p>
      <a:pPr>
        <a:defRPr sz="900">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0.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1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1">
  <a:schemeClr val="accent1"/>
  <a:schemeClr val="accent3"/>
  <a:schemeClr val="accent5"/>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2">
  <a:schemeClr val="accent2"/>
  <a:schemeClr val="accent4"/>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withinLinear" id="15">
  <a:schemeClr val="accent2"/>
</cs:colorStyle>
</file>

<file path=word/charts/colors5.xml><?xml version="1.0" encoding="utf-8"?>
<cs:colorStyle xmlns:cs="http://schemas.microsoft.com/office/drawing/2012/chartStyle" xmlns:a="http://schemas.openxmlformats.org/drawingml/2006/main" meth="withinLinear" id="15">
  <a:schemeClr val="accent2"/>
</cs:colorStyle>
</file>

<file path=word/charts/colors6.xml><?xml version="1.0" encoding="utf-8"?>
<cs:colorStyle xmlns:cs="http://schemas.microsoft.com/office/drawing/2012/chartStyle" xmlns:a="http://schemas.openxmlformats.org/drawingml/2006/main" meth="withinLinear" id="15">
  <a:schemeClr val="accent2"/>
</cs:colorStyle>
</file>

<file path=word/charts/colors7.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8.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9.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0.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11.xml><?xml version="1.0" encoding="utf-8"?>
<cs:chartStyle xmlns:cs="http://schemas.microsoft.com/office/drawing/2012/chartStyle" xmlns:a="http://schemas.openxmlformats.org/drawingml/2006/main" id="240">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19050"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dk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spPr>
      <a:ln w="9525" cap="flat" cmpd="sng" algn="ctr">
        <a:solidFill>
          <a:schemeClr val="tx1">
            <a:lumMod val="25000"/>
            <a:lumOff val="75000"/>
          </a:schemeClr>
        </a:solidFill>
        <a:round/>
      </a:ln>
    </cs:spPr>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16">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5.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6.xml><?xml version="1.0" encoding="utf-8"?>
<cs:chartStyle xmlns:cs="http://schemas.microsoft.com/office/drawing/2012/chartStyle" xmlns:a="http://schemas.openxmlformats.org/drawingml/2006/main" id="220">
  <cs:axisTitle>
    <cs:lnRef idx="0"/>
    <cs:fillRef idx="0"/>
    <cs:effectRef idx="0"/>
    <cs:fontRef idx="minor">
      <a:schemeClr val="tx2"/>
    </cs:fontRef>
    <cs:defRPr sz="900" b="1" kern="1200"/>
  </cs:axisTitle>
  <cs:categoryAxis>
    <cs:lnRef idx="0"/>
    <cs:fillRef idx="0"/>
    <cs:effectRef idx="0"/>
    <cs:fontRef idx="minor">
      <a:schemeClr val="tx2"/>
    </cs:fontRef>
    <cs:spPr>
      <a:ln w="9525" cap="flat" cmpd="sng" algn="ctr">
        <a:solidFill>
          <a:schemeClr val="tx2">
            <a:lumMod val="15000"/>
            <a:lumOff val="85000"/>
          </a:schemeClr>
        </a:solidFill>
        <a:round/>
      </a:ln>
    </cs:spPr>
    <cs:defRPr sz="900" kern="1200"/>
  </cs:categoryAxis>
  <cs:chartArea mods="allowNoFillOverride allowNoLineOverride">
    <cs:lnRef idx="0"/>
    <cs:fillRef idx="0"/>
    <cs:effectRef idx="0"/>
    <cs:fontRef idx="minor">
      <a:schemeClr val="tx2"/>
    </cs:fontRef>
    <cs:spPr>
      <a:solidFill>
        <a:schemeClr val="bg1"/>
      </a:solidFill>
      <a:ln w="9525" cap="flat" cmpd="sng" algn="ctr">
        <a:solidFill>
          <a:schemeClr val="tx2">
            <a:lumMod val="15000"/>
            <a:lumOff val="85000"/>
          </a:schemeClr>
        </a:solidFill>
        <a:round/>
      </a:ln>
    </cs:spPr>
    <cs:defRPr sz="900" kern="1200"/>
  </cs:chartArea>
  <cs:dataLabel>
    <cs:lnRef idx="0"/>
    <cs:fillRef idx="0"/>
    <cs:effectRef idx="0"/>
    <cs:fontRef idx="minor">
      <a:schemeClr val="tx2"/>
    </cs:fontRef>
    <cs:defRPr sz="900" kern="1200"/>
  </cs:dataLabel>
  <cs:dataLabelCallout>
    <cs:lnRef idx="0"/>
    <cs:fillRef idx="0"/>
    <cs:effectRef idx="0"/>
    <cs:fontRef idx="minor">
      <a:schemeClr val="dk2">
        <a:lumMod val="7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3">
      <cs:styleClr val="auto"/>
    </cs:fillRef>
    <cs:effectRef idx="2"/>
    <cs:fontRef idx="minor">
      <a:schemeClr val="tx2"/>
    </cs:fontRef>
  </cs:dataPoint>
  <cs:dataPoint3D>
    <cs:lnRef idx="0"/>
    <cs:fillRef idx="3">
      <cs:styleClr val="auto"/>
    </cs:fillRef>
    <cs:effectRef idx="2"/>
    <cs:fontRef idx="minor">
      <a:schemeClr val="tx2"/>
    </cs:fontRef>
  </cs:dataPoint3D>
  <cs:dataPointLine>
    <cs:lnRef idx="0">
      <cs:styleClr val="auto"/>
    </cs:lnRef>
    <cs:fillRef idx="3"/>
    <cs:effectRef idx="2"/>
    <cs:fontRef idx="minor">
      <a:schemeClr val="tx2"/>
    </cs:fontRef>
    <cs:spPr>
      <a:ln w="31750" cap="rnd">
        <a:solidFill>
          <a:schemeClr val="phClr"/>
        </a:solidFill>
        <a:round/>
      </a:ln>
    </cs:spPr>
  </cs:dataPointLine>
  <cs:dataPointMarker>
    <cs:lnRef idx="0"/>
    <cs:fillRef idx="3">
      <cs:styleClr val="auto"/>
    </cs:fillRef>
    <cs:effectRef idx="2"/>
    <cs:fontRef idx="minor">
      <a:schemeClr val="tx2"/>
    </cs:fontRef>
    <cs:spPr>
      <a:ln w="12700">
        <a:solidFill>
          <a:schemeClr val="lt2"/>
        </a:solidFill>
        <a:round/>
      </a:ln>
    </cs:spPr>
  </cs:dataPointMarker>
  <cs:dataPointMarkerLayout symbol="circle" size="6"/>
  <cs:dataPointWireframe>
    <cs:lnRef idx="0">
      <cs:styleClr val="auto"/>
    </cs:lnRef>
    <cs:fillRef idx="3"/>
    <cs:effectRef idx="2"/>
    <cs:fontRef idx="minor">
      <a:schemeClr val="tx2"/>
    </cs:fontRef>
    <cs:spPr>
      <a:ln w="9525" cap="rnd">
        <a:solidFill>
          <a:schemeClr val="phClr"/>
        </a:solidFill>
        <a:round/>
      </a:ln>
    </cs:spPr>
  </cs:dataPointWireframe>
  <cs:dataTable>
    <cs:lnRef idx="0"/>
    <cs:fillRef idx="0"/>
    <cs:effectRef idx="0"/>
    <cs:fontRef idx="minor">
      <a:schemeClr val="tx2"/>
    </cs:fontRef>
    <cs:spPr>
      <a:ln w="9525">
        <a:solidFill>
          <a:schemeClr val="tx2">
            <a:lumMod val="15000"/>
            <a:lumOff val="85000"/>
          </a:schemeClr>
        </a:solidFill>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2"/>
    </cs:fontRef>
    <cs:spPr>
      <a:ln w="9525">
        <a:solidFill>
          <a:schemeClr val="tx2">
            <a:lumMod val="60000"/>
            <a:lumOff val="40000"/>
          </a:schemeClr>
        </a:solidFill>
        <a:prstDash val="dash"/>
      </a:ln>
    </cs:spPr>
  </cs:dropLine>
  <cs:errorBar>
    <cs:lnRef idx="0"/>
    <cs:fillRef idx="0"/>
    <cs:effectRef idx="0"/>
    <cs:fontRef idx="minor">
      <a:schemeClr val="tx2"/>
    </cs:fontRef>
    <cs:spPr>
      <a:ln w="9525">
        <a:solidFill>
          <a:schemeClr val="tx2">
            <a:lumMod val="75000"/>
          </a:schemeClr>
        </a:solidFill>
        <a:round/>
      </a:ln>
    </cs:spPr>
  </cs:errorBar>
  <cs:floor>
    <cs:lnRef idx="0"/>
    <cs:fillRef idx="0"/>
    <cs:effectRef idx="0"/>
    <cs:fontRef idx="minor">
      <a:schemeClr val="tx2"/>
    </cs:fontRef>
  </cs:floor>
  <cs:gridlineMajor>
    <cs:lnRef idx="0"/>
    <cs:fillRef idx="0"/>
    <cs:effectRef idx="0"/>
    <cs:fontRef idx="minor">
      <a:schemeClr val="tx2"/>
    </cs:fontRef>
    <cs:spPr>
      <a:ln w="9525" cap="flat" cmpd="sng" algn="ctr">
        <a:solidFill>
          <a:schemeClr val="tx2">
            <a:lumMod val="15000"/>
            <a:lumOff val="85000"/>
          </a:schemeClr>
        </a:solidFill>
        <a:round/>
      </a:ln>
    </cs:spPr>
  </cs:gridlineMajor>
  <cs:gridlineMinor>
    <cs:lnRef idx="0"/>
    <cs:fillRef idx="0"/>
    <cs:effectRef idx="0"/>
    <cs:fontRef idx="minor">
      <a:schemeClr val="tx2"/>
    </cs:fontRef>
    <cs:spPr>
      <a:ln>
        <a:solidFill>
          <a:schemeClr val="tx2">
            <a:lumMod val="5000"/>
            <a:lumOff val="95000"/>
          </a:schemeClr>
        </a:solidFill>
      </a:ln>
    </cs:spPr>
  </cs:gridlineMinor>
  <cs:hiLoLine>
    <cs:lnRef idx="0"/>
    <cs:fillRef idx="0"/>
    <cs:effectRef idx="0"/>
    <cs:fontRef idx="minor">
      <a:schemeClr val="tx2"/>
    </cs:fontRef>
    <cs:spPr>
      <a:ln w="9525">
        <a:solidFill>
          <a:schemeClr val="tx2">
            <a:lumMod val="60000"/>
            <a:lumOff val="40000"/>
          </a:schemeClr>
        </a:solidFill>
        <a:prstDash val="dash"/>
      </a:ln>
    </cs:spPr>
  </cs:hiLoLine>
  <cs:leaderLine>
    <cs:lnRef idx="0"/>
    <cs:fillRef idx="0"/>
    <cs:effectRef idx="0"/>
    <cs:fontRef idx="minor">
      <a:schemeClr val="tx2"/>
    </cs:fontRef>
    <cs:spPr>
      <a:ln w="9525">
        <a:solidFill>
          <a:schemeClr val="tx2">
            <a:lumMod val="35000"/>
            <a:lumOff val="65000"/>
          </a:schemeClr>
        </a:solidFill>
      </a:ln>
    </cs:spPr>
  </cs:leaderLine>
  <cs:legend>
    <cs:lnRef idx="0"/>
    <cs:fillRef idx="0"/>
    <cs:effectRef idx="0"/>
    <cs:fontRef idx="minor">
      <a:schemeClr val="tx2"/>
    </cs:fontRef>
    <cs:defRPr sz="900" kern="1200"/>
  </cs:legend>
  <cs:plotArea>
    <cs:lnRef idx="0"/>
    <cs:fillRef idx="0"/>
    <cs:effectRef idx="0"/>
    <cs:fontRef idx="minor">
      <a:schemeClr val="tx2"/>
    </cs:fontRef>
  </cs:plotArea>
  <cs:plotArea3D>
    <cs:lnRef idx="0"/>
    <cs:fillRef idx="0"/>
    <cs:effectRef idx="0"/>
    <cs:fontRef idx="minor">
      <a:schemeClr val="tx2"/>
    </cs:fontRef>
  </cs:plotArea3D>
  <cs:seriesAxis>
    <cs:lnRef idx="0"/>
    <cs:fillRef idx="0"/>
    <cs:effectRef idx="0"/>
    <cs:fontRef idx="minor">
      <a:schemeClr val="tx2"/>
    </cs:fontRef>
    <cs:spPr>
      <a:ln w="9525" cap="flat" cmpd="sng" algn="ctr">
        <a:solidFill>
          <a:schemeClr val="tx2">
            <a:lumMod val="15000"/>
            <a:lumOff val="85000"/>
          </a:schemeClr>
        </a:solidFill>
        <a:round/>
      </a:ln>
    </cs:spPr>
    <cs:defRPr sz="900" kern="1200"/>
  </cs:seriesAxis>
  <cs:seriesLine>
    <cs:lnRef idx="0"/>
    <cs:fillRef idx="0"/>
    <cs:effectRef idx="0"/>
    <cs:fontRef idx="minor">
      <a:schemeClr val="tx2"/>
    </cs:fontRef>
    <cs:spPr>
      <a:ln w="9525">
        <a:solidFill>
          <a:schemeClr val="tx2">
            <a:lumMod val="60000"/>
            <a:lumOff val="40000"/>
          </a:schemeClr>
        </a:solidFill>
        <a:prstDash val="dash"/>
      </a:ln>
    </cs:spPr>
  </cs:seriesLine>
  <cs:title>
    <cs:lnRef idx="0"/>
    <cs:fillRef idx="0"/>
    <cs:effectRef idx="0"/>
    <cs:fontRef idx="minor">
      <a:schemeClr val="tx2"/>
    </cs:fontRef>
    <cs:defRPr sz="1600" b="1" kern="1200"/>
  </cs:title>
  <cs:trendline>
    <cs:lnRef idx="0">
      <cs:styleClr val="auto"/>
    </cs:lnRef>
    <cs:fillRef idx="0"/>
    <cs:effectRef idx="0"/>
    <cs:fontRef idx="minor">
      <a:schemeClr val="tx2"/>
    </cs:fontRef>
    <cs:spPr>
      <a:ln w="19050" cap="rnd">
        <a:solidFill>
          <a:schemeClr val="phClr"/>
        </a:solidFill>
        <a:prstDash val="sysDash"/>
      </a:ln>
    </cs:spPr>
  </cs:trendline>
  <cs:trendlineLabel>
    <cs:lnRef idx="0"/>
    <cs:fillRef idx="0"/>
    <cs:effectRef idx="0"/>
    <cs:fontRef idx="minor">
      <a:schemeClr val="tx2"/>
    </cs:fontRef>
    <cs:defRPr sz="900" kern="1200"/>
  </cs:trendlineLabel>
  <cs:upBar>
    <cs:lnRef idx="0"/>
    <cs:fillRef idx="0"/>
    <cs:effectRef idx="0"/>
    <cs:fontRef idx="minor">
      <a:schemeClr val="tx2"/>
    </cs:fontRef>
    <cs:spPr>
      <a:solidFill>
        <a:schemeClr val="lt1"/>
      </a:solidFill>
      <a:ln w="9525">
        <a:solidFill>
          <a:schemeClr val="tx1">
            <a:lumMod val="15000"/>
            <a:lumOff val="85000"/>
          </a:schemeClr>
        </a:solidFill>
      </a:ln>
    </cs:spPr>
  </cs:upBar>
  <cs:valueAxis>
    <cs:lnRef idx="0"/>
    <cs:fillRef idx="0"/>
    <cs:effectRef idx="0"/>
    <cs:fontRef idx="minor">
      <a:schemeClr val="tx2"/>
    </cs:fontRef>
    <cs:defRPr sz="900" kern="1200"/>
  </cs:valueAxis>
  <cs:wall>
    <cs:lnRef idx="0"/>
    <cs:fillRef idx="0"/>
    <cs:effectRef idx="0"/>
    <cs:fontRef idx="minor">
      <a:schemeClr val="tx2"/>
    </cs:fontRef>
  </cs:wall>
</cs:chartStyle>
</file>

<file path=word/charts/style7.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8.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9.xml><?xml version="1.0" encoding="utf-8"?>
<cs:chartStyle xmlns:cs="http://schemas.microsoft.com/office/drawing/2012/chartStyle" xmlns:a="http://schemas.openxmlformats.org/drawingml/2006/main" id="20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dk1"/>
    </cs:fontRef>
    <cs:spPr>
      <a:solidFill>
        <a:schemeClr val="dk1">
          <a:lumMod val="65000"/>
          <a:lumOff val="35000"/>
        </a:schemeClr>
      </a:solidFill>
      <a:ln w="9525">
        <a:solidFill>
          <a:schemeClr val="tx1">
            <a:lumMod val="65000"/>
            <a:lumOff val="35000"/>
          </a:schemeClr>
        </a:solidFill>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75000"/>
            <a:lumOff val="25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dk1"/>
    </cs:fontRef>
    <cs:spPr>
      <a:solidFill>
        <a:schemeClr val="lt1"/>
      </a:solidFill>
      <a:ln w="9525">
        <a:solidFill>
          <a:schemeClr val="tx1">
            <a:lumMod val="15000"/>
            <a:lumOff val="85000"/>
          </a:schemeClr>
        </a:solidFill>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theme/theme1.xml><?xml version="1.0" encoding="utf-8"?>
<a:theme xmlns:a="http://schemas.openxmlformats.org/drawingml/2006/main" name="Office Theme">
  <a:themeElements>
    <a:clrScheme name="Red Orange">
      <a:dk1>
        <a:sysClr val="windowText" lastClr="000000"/>
      </a:dk1>
      <a:lt1>
        <a:sysClr val="window" lastClr="FFFFFF"/>
      </a:lt1>
      <a:dk2>
        <a:srgbClr val="505046"/>
      </a:dk2>
      <a:lt2>
        <a:srgbClr val="EEECE1"/>
      </a:lt2>
      <a:accent1>
        <a:srgbClr val="E84C22"/>
      </a:accent1>
      <a:accent2>
        <a:srgbClr val="FFBD47"/>
      </a:accent2>
      <a:accent3>
        <a:srgbClr val="B64926"/>
      </a:accent3>
      <a:accent4>
        <a:srgbClr val="FF8427"/>
      </a:accent4>
      <a:accent5>
        <a:srgbClr val="CC9900"/>
      </a:accent5>
      <a:accent6>
        <a:srgbClr val="B22600"/>
      </a:accent6>
      <a:hlink>
        <a:srgbClr val="CC9900"/>
      </a:hlink>
      <a:folHlink>
        <a:srgbClr val="666699"/>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9D6469B8F6AF947AC66E23C71F1575F" ma:contentTypeVersion="13" ma:contentTypeDescription="Create a new document." ma:contentTypeScope="" ma:versionID="1b957b8936c25eb19447301f3e1d68fc">
  <xsd:schema xmlns:xsd="http://www.w3.org/2001/XMLSchema" xmlns:xs="http://www.w3.org/2001/XMLSchema" xmlns:p="http://schemas.microsoft.com/office/2006/metadata/properties" xmlns:ns2="e3622bd6-e89e-4dbe-baae-ea21fa3ace42" xmlns:ns3="518c8e55-82ae-4804-a379-374bddc9a969" targetNamespace="http://schemas.microsoft.com/office/2006/metadata/properties" ma:root="true" ma:fieldsID="184ddaac7f8012f96b01e2eb5bc84857" ns2:_="" ns3:_="">
    <xsd:import namespace="e3622bd6-e89e-4dbe-baae-ea21fa3ace42"/>
    <xsd:import namespace="518c8e55-82ae-4804-a379-374bddc9a969"/>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BillingMetadata"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3622bd6-e89e-4dbe-baae-ea21fa3ace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229acbfe-769a-4a3f-ac7e-de82a8b876d1"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BillingMetadata" ma:index="19" nillable="true" ma:displayName="MediaServiceBillingMetadata" ma:hidden="true" ma:internalName="MediaServiceBillingMetadata" ma:readOnly="true">
      <xsd:simpleType>
        <xsd:restriction base="dms:Note"/>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518c8e55-82ae-4804-a379-374bddc9a969"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9ba28af3-0ff4-47e5-9191-efc3b972fb92}" ma:internalName="TaxCatchAll" ma:showField="CatchAllData" ma:web="518c8e55-82ae-4804-a379-374bddc9a969">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go:gDocsCustomXmlDataStorage xmlns:go="http://customooxmlschemas.google.com/" xmlns:r="http://schemas.openxmlformats.org/officeDocument/2006/relationships" uri="GoogleDocsCustomDataVersion2">
  <go:docsCustomData xmlns:go="http://customooxmlschemas.google.com/" roundtripDataSignature="AMtx7mg43G0pByBvo4FJESEAQLHPTxsR2w==">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</go:docsCustomData>
</go:gDocsCustomXmlDataStorage>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p:properties xmlns:p="http://schemas.microsoft.com/office/2006/metadata/properties" xmlns:xsi="http://www.w3.org/2001/XMLSchema-instance" xmlns:pc="http://schemas.microsoft.com/office/infopath/2007/PartnerControls">
  <documentManagement>
    <TaxCatchAll xmlns="518c8e55-82ae-4804-a379-374bddc9a969" xsi:nil="true"/>
    <lcf76f155ced4ddcb4097134ff3c332f xmlns="e3622bd6-e89e-4dbe-baae-ea21fa3ace42">
      <Terms xmlns="http://schemas.microsoft.com/office/infopath/2007/PartnerControls"/>
    </lcf76f155ced4ddcb4097134ff3c332f>
  </documentManagement>
</p:properties>
</file>

<file path=customXml/itemProps1.xml><?xml version="1.0" encoding="utf-8"?>
<ds:datastoreItem xmlns:ds="http://schemas.openxmlformats.org/officeDocument/2006/customXml" ds:itemID="{1B2CF2A5-36D3-495F-BFA4-14A4AA7DD2CD}">
  <ds:schemaRefs>
    <ds:schemaRef ds:uri="http://schemas.microsoft.com/sharepoint/v3/contenttype/forms"/>
  </ds:schemaRefs>
</ds:datastoreItem>
</file>

<file path=customXml/itemProps2.xml><?xml version="1.0" encoding="utf-8"?>
<ds:datastoreItem xmlns:ds="http://schemas.openxmlformats.org/officeDocument/2006/customXml" ds:itemID="{65956E4A-2260-49F5-9ED4-9E5BF6C5926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3622bd6-e89e-4dbe-baae-ea21fa3ace42"/>
    <ds:schemaRef ds:uri="518c8e55-82ae-4804-a379-374bddc9a96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customXml/itemProps4.xml><?xml version="1.0" encoding="utf-8"?>
<ds:datastoreItem xmlns:ds="http://schemas.openxmlformats.org/officeDocument/2006/customXml" ds:itemID="{D5A133D8-1018-4FB8-81B7-D82E4F2620B5}">
  <ds:schemaRefs>
    <ds:schemaRef ds:uri="http://schemas.openxmlformats.org/officeDocument/2006/bibliography"/>
  </ds:schemaRefs>
</ds:datastoreItem>
</file>

<file path=customXml/itemProps5.xml><?xml version="1.0" encoding="utf-8"?>
<ds:datastoreItem xmlns:ds="http://schemas.openxmlformats.org/officeDocument/2006/customXml" ds:itemID="{E11E2D9B-B078-402B-8909-68D6BDE414CB}">
  <ds:schemaRefs>
    <ds:schemaRef ds:uri="http://schemas.microsoft.com/office/2006/metadata/properties"/>
    <ds:schemaRef ds:uri="http://schemas.microsoft.com/office/infopath/2007/PartnerControls"/>
    <ds:schemaRef ds:uri="518c8e55-82ae-4804-a379-374bddc9a969"/>
    <ds:schemaRef ds:uri="e3622bd6-e89e-4dbe-baae-ea21fa3ace42"/>
  </ds:schemaRefs>
</ds:datastoreItem>
</file>

<file path=docProps/app.xml><?xml version="1.0" encoding="utf-8"?>
<Properties xmlns="http://schemas.openxmlformats.org/officeDocument/2006/extended-properties" xmlns:vt="http://schemas.openxmlformats.org/officeDocument/2006/docPropsVTypes">
  <Template>Normal.dotm</Template>
  <TotalTime>91</TotalTime>
  <Pages>4</Pages>
  <Words>36557</Words>
  <Characters>182423</Characters>
  <Application>Microsoft Office Word</Application>
  <DocSecurity>0</DocSecurity>
  <Lines>11401</Lines>
  <Paragraphs>5614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213366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Eleanor Morgan</dc:creator>
  <cp:lastModifiedBy>Olive Kabatwairwe</cp:lastModifiedBy>
  <cp:revision>71</cp:revision>
  <cp:lastPrinted>2026-04-16T08:43:00Z</cp:lastPrinted>
  <dcterms:created xsi:type="dcterms:W3CDTF">2026-04-17T13:12:00Z</dcterms:created>
  <dcterms:modified xsi:type="dcterms:W3CDTF">2026-04-21T14:54:00Z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b9aca57c-6ec0-4cc4-8d97-c28059172c96</vt:lpwstr>
  </property>
  <property fmtid="{D5CDD505-2E9C-101B-9397-08002B2CF9AE}" pid="3" name="ContentTypeId">
    <vt:lpwstr>0x01010059D6469B8F6AF947AC66E23C71F1575F</vt:lpwstr>
  </property>
  <property fmtid="{D5CDD505-2E9C-101B-9397-08002B2CF9AE}" pid="4" name="MediaServiceImageTags">
    <vt:lpwstr/>
  </property>
</Properties>
</file>